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2" w:rsidRDefault="00EA7862" w:rsidP="00EA786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</w:pPr>
    </w:p>
    <w:p w:rsidR="00EA7862" w:rsidRDefault="00EA7862" w:rsidP="00EA7862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“</w:t>
      </w:r>
      <w:r w:rsidRPr="00EA7862">
        <w:rPr>
          <w:rFonts w:ascii="Times New Roman" w:eastAsia="MS Mincho" w:hAnsi="Times New Roman" w:cs="Times New Roman"/>
          <w:b/>
          <w:color w:val="000000" w:themeColor="text1"/>
          <w:spacing w:val="-4"/>
          <w:sz w:val="28"/>
          <w:szCs w:val="28"/>
          <w:lang w:val="az-Latn-AZ"/>
        </w:rPr>
        <w:t>Bank işi” kafedarsı üzrə doktorantura üçün imtahan sualları</w:t>
      </w:r>
      <w:bookmarkStart w:id="0" w:name="_GoBack"/>
      <w:bookmarkEnd w:id="0"/>
    </w:p>
    <w:p w:rsidR="00EA7862" w:rsidRDefault="00EA7862" w:rsidP="00EA7862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</w:pPr>
    </w:p>
    <w:p w:rsidR="00423601" w:rsidRPr="00EA7862" w:rsidRDefault="005350A9" w:rsidP="00EA786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Pul sisteminin tipləri: əmtəə, metal (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u w:color="FF00FF"/>
          <w:lang w:val="az-Latn-AZ"/>
        </w:rPr>
        <w:t>monometal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 xml:space="preserve"> və 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u w:color="FF00FF"/>
          <w:lang w:val="az-Latn-AZ"/>
        </w:rPr>
        <w:t>biometall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 xml:space="preserve">), 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u w:color="FF00FF"/>
          <w:lang w:val="az-Latn-AZ"/>
        </w:rPr>
        <w:t xml:space="preserve">fidusiar 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(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u w:color="FF00FF"/>
          <w:lang w:val="az-Latn-AZ"/>
        </w:rPr>
        <w:t>kağız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 xml:space="preserve"> və kredit-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u w:color="FF00FF"/>
          <w:lang w:val="az-Latn-AZ"/>
        </w:rPr>
        <w:t>kağız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, elektron).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>Kreditin mahiyyəti, prinsipləri, forma və növləri.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Azərbaycanda siğorta fəaliyyətinin təsnifati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Maliyyə   bazarında  riskin əsas növləri: sistematik risk və qeyri-sistematik risk.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Respublikasinin bank sisteminin hüquqi əsaslari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Valyuta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kursunun dəyişməsinə səbəb olan amillər.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Azərbaycanın tədiyyə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balansı və Azərbaycanın beynəlxalq 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investisiya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mövqeyi. 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Times New Roman,Italic" w:hAnsi="Times New Roman" w:cs="Times New Roman"/>
          <w:iCs/>
          <w:color w:val="000000" w:themeColor="text1"/>
          <w:sz w:val="24"/>
          <w:szCs w:val="24"/>
          <w:lang w:val="az-Latn-AZ"/>
        </w:rPr>
        <w:t>Risklərin ölçülməsi və qiymətləndirilməsi.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>Bank sistemində böhranların tarixi inkişafı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İ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nflyasiya və 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u w:color="FF00FF"/>
          <w:lang w:val="az-Latn-AZ"/>
        </w:rPr>
        <w:t>antinflasiya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 siyasəti.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u w:color="FF00FF"/>
          <w:lang w:val="az-Latn-AZ"/>
        </w:rPr>
        <w:t>Kreditləşmənin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 iqtisadi əhəmiyyəti və kredit tələblərinin 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u w:color="FF00FF"/>
          <w:lang w:val="az-Latn-AZ"/>
        </w:rPr>
        <w:t>dəyərləndirilməsi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. 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az-Latn-AZ"/>
        </w:rPr>
        <w:t>Qiymətli kağızlarlarla əməliyyat aparan şirkətlər.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Bank sistemində </w:t>
      </w:r>
      <w:r w:rsidRPr="00EA7862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az-Latn-AZ"/>
        </w:rPr>
        <w:t>antiböhran tədbirlər  proqramı.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Beynəlxalq 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bankçılığın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mahiyyəti.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Mərkəzi Bankın məqsəd və funksiyaları.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ABŞ-da ipoteka böhranı (2008) və onun Qlobal böhrana transformasiyası</w:t>
      </w:r>
    </w:p>
    <w:p w:rsidR="005350A9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Kredit riskinin ölçülməsi</w:t>
      </w:r>
    </w:p>
    <w:p w:rsidR="00EA7862" w:rsidRPr="00EA7862" w:rsidRDefault="005350A9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pacing w:val="-8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Qiymətli  kağızlar bazarında fəaliyyət növləri: broker fəaliyyəti; diler fəaliyyəti; qiymətli kağızların idarə olunması üzrə fəaliyyət; depozitar fəaliyyəti; qiymətli kağızların sahiblərinin reyestrinin aparılması üzrə fəaliyyət; klirinq fəaliyyəti; fond birjası fəaliyyəti.</w:t>
      </w:r>
    </w:p>
    <w:p w:rsidR="005350A9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pacing w:val="-8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Sığorta sistemi və sığorta haqqında qanunvericilik.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Super birjalar( Nyu-York birjası,Evronext birjası</w:t>
      </w:r>
      <w:r w:rsidRPr="00EA786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az-Latn-AZ"/>
        </w:rPr>
        <w:t xml:space="preserve">,  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Tokio birjası və  London birjası).  </w:t>
      </w:r>
    </w:p>
    <w:p w:rsidR="00920842" w:rsidRPr="00EA7862" w:rsidRDefault="00F7568D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bank sisteminin aktivlərinin strukturu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Ödəniş sistemı və nağdsız hesablaşma sistemi anlayışlarının məzmunu.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TimesNewRoman,Bold" w:hAnsi="Times New Roman" w:cs="Times New Roman"/>
          <w:bCs/>
          <w:color w:val="000000" w:themeColor="text1"/>
          <w:sz w:val="24"/>
          <w:szCs w:val="24"/>
          <w:lang w:val="az-Latn-AZ"/>
        </w:rPr>
        <w:t>Azərbaycan Respublikasının bank sistemində xarici kapitalın iştirakı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CAMEL – banklarda  etibarlılıq ölçüsü kimi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Banklarda marketinq  fəaliyyətinin özəllikləri.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Respublikası Mərkəzi Bankının Pul siyasəti və Maliyyə Sabitliyi Komitəsi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>İ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u w:color="FF00FF"/>
          <w:lang w:val="az-Latn-AZ"/>
        </w:rPr>
        <w:t>nflasiyasının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 ölçülməsi qaydası</w:t>
      </w:r>
    </w:p>
    <w:p w:rsidR="00EA786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Respublikası Mərkəzi Bankının ödəniş sistemləri sahəsində fəaliyyəti</w:t>
      </w:r>
    </w:p>
    <w:p w:rsidR="00920842" w:rsidRPr="00EA7862" w:rsidRDefault="0092084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Banklarda risklərin idarə edilməsi funksiyasını həyata keçirən təşkilati struktur.</w:t>
      </w:r>
    </w:p>
    <w:p w:rsidR="0092084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Ölkənin xarici 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borclanmasına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təsir edən amillər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 xml:space="preserve">Dünya təcrübəsi 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u w:color="FF00FF"/>
          <w:lang w:val="az-Latn-AZ"/>
        </w:rPr>
        <w:t xml:space="preserve">kontekstində 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A</w:t>
      </w:r>
      <w:r w:rsidRPr="00EA7862">
        <w:rPr>
          <w:rFonts w:ascii="Times New Roman" w:eastAsia="MS Mincho" w:hAnsi="Times New Roman" w:cs="Times New Roman"/>
          <w:bCs/>
          <w:color w:val="000000" w:themeColor="text1"/>
          <w:spacing w:val="-4"/>
          <w:sz w:val="24"/>
          <w:szCs w:val="24"/>
          <w:lang w:val="az-Latn-AZ"/>
        </w:rPr>
        <w:t>zərbaycanda inflyasiyaya qarşı mübarizə.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lastRenderedPageBreak/>
        <w:t xml:space="preserve">Derivativ kredit 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 xml:space="preserve">alətləri: Forward, Futures, Opsiyon və SWAP. 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Qiymətli kağızlar bazarında investisiya riskinin qiymətləndirilməsi metodları: statistik təhlil, faktor təhlili, ekspertlərin qiymətləndirilməsi metodu.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Ə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ja-JP"/>
        </w:rPr>
        <w:t>manət sığorta sisteminin məqsəd və vəzifələri.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bank sektorunun fəaliyyətinin maliyyə göstəriciləri.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Beynəlxalq risk idarə standartları və  Bazel I, II tövsiyələri:minimum kapital gərəkliyi, nəzarət sistemi və bazar intizamı qaydaları.</w:t>
      </w:r>
    </w:p>
    <w:p w:rsidR="00343A22" w:rsidRPr="00EA7862" w:rsidRDefault="00343A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Banklarda mühasibat uçotu işinin təşkili.</w:t>
      </w:r>
    </w:p>
    <w:p w:rsidR="00343A22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tr-TR" w:eastAsia="tr-TR"/>
        </w:rPr>
        <w:t>Cinayət yolu ilə əldə edilmiş pul vəsaitlərinə qarşı mübarizə.</w:t>
      </w:r>
    </w:p>
    <w:p w:rsidR="00337C33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Bankın məcmu kapitalının strukturu:İ və İİ dərəcəli kapital. </w:t>
      </w:r>
    </w:p>
    <w:p w:rsidR="00337C33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Azərbaycanda nağd pul tədavülünün təşkili.</w:t>
      </w:r>
    </w:p>
    <w:p w:rsidR="00337C33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t>Qiymətli kağız ba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softHyphen/>
        <w:t>za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softHyphen/>
        <w:t>rı</w:t>
      </w:r>
      <w:r w:rsidRPr="00EA7862">
        <w:rPr>
          <w:rFonts w:ascii="Times New Roman" w:eastAsia="MS Mincho" w:hAnsi="Times New Roman" w:cs="Times New Roman"/>
          <w:color w:val="000000" w:themeColor="text1"/>
          <w:spacing w:val="-4"/>
          <w:sz w:val="24"/>
          <w:szCs w:val="24"/>
          <w:lang w:val="az-Latn-AZ"/>
        </w:rPr>
        <w:softHyphen/>
        <w:t>nın strukturu</w:t>
      </w:r>
    </w:p>
    <w:p w:rsidR="00337C33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Risklərin idarə edilməsi qaydaları</w:t>
      </w:r>
    </w:p>
    <w:p w:rsidR="00337C33" w:rsidRPr="00EA7862" w:rsidRDefault="00337C33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Azərbaycan bank sektorunun kəmiyyət və keyfiyyət göstəriciləri.</w:t>
      </w:r>
    </w:p>
    <w:p w:rsidR="00337C33" w:rsidRPr="00EA7862" w:rsidRDefault="00CF39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İnkişaf etməkdə olan ölkələrə yönəlmiş beynəlxalq kapital hərəkətləri qısamüddətli 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yatırımlar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və ya «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u w:color="FF00FF"/>
          <w:lang w:val="az-Latn-AZ"/>
        </w:rPr>
        <w:t>hotmoney</w:t>
      </w: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 xml:space="preserve"> – isti pul».</w:t>
      </w:r>
    </w:p>
    <w:p w:rsidR="00EA7862" w:rsidRPr="00EA7862" w:rsidRDefault="00CF39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Valyuta siyasəti onun məqsəd və vəzifələri</w:t>
      </w:r>
    </w:p>
    <w:p w:rsidR="00CF3922" w:rsidRPr="00EA7862" w:rsidRDefault="00CF39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 xml:space="preserve">Azərbaycanda valyuta ehtiyatlarının formalaşması və istifadəsi.  </w:t>
      </w:r>
    </w:p>
    <w:p w:rsidR="00CF3922" w:rsidRPr="00EA7862" w:rsidRDefault="00CF39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Dünya və regional əhəmiyyətli maliyyə-kredit təşkilatları.</w:t>
      </w:r>
    </w:p>
    <w:p w:rsidR="00CF3922" w:rsidRPr="00EA7862" w:rsidRDefault="00CF3922" w:rsidP="00EA786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Maliyyə hesabatı elementlərinin qiymətləndirilməsi.</w:t>
      </w:r>
    </w:p>
    <w:p w:rsidR="005350A9" w:rsidRPr="00EA7862" w:rsidRDefault="00CF3922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Sabit kurs sistemi.</w:t>
      </w:r>
    </w:p>
    <w:p w:rsidR="00CF3922" w:rsidRPr="00EA7862" w:rsidRDefault="00EA7862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İ</w:t>
      </w:r>
      <w:r w:rsidR="00CF3922"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 xml:space="preserve">nflyasiyanın əsas pul və qeyri-pul amilləri.  </w:t>
      </w:r>
    </w:p>
    <w:p w:rsidR="00CF3922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Mərkəzi Bank kredit təşkilatlarının fəaliyyətinə nəzarət edən orqan kimi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 w:eastAsia="tr-TR"/>
        </w:rPr>
        <w:t>Nominal və real valyuta məzənnələri, ona təsir edən amillər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hAnsi="Times New Roman" w:cs="Times New Roman"/>
          <w:iCs/>
          <w:color w:val="000000" w:themeColor="text1"/>
          <w:sz w:val="24"/>
          <w:szCs w:val="24"/>
          <w:lang w:val="az-Latn-AZ"/>
        </w:rPr>
        <w:t>Riskl</w:t>
      </w:r>
      <w:r w:rsidRPr="00EA7862">
        <w:rPr>
          <w:rFonts w:ascii="Times New Roman" w:eastAsia="Times New Roman,Italic" w:hAnsi="Times New Roman" w:cs="Times New Roman"/>
          <w:iCs/>
          <w:color w:val="000000" w:themeColor="text1"/>
          <w:sz w:val="24"/>
          <w:szCs w:val="24"/>
          <w:lang w:val="az-Latn-AZ"/>
        </w:rPr>
        <w:t>ərin müə</w:t>
      </w:r>
      <w:r w:rsidRPr="00EA7862">
        <w:rPr>
          <w:rFonts w:ascii="Times New Roman" w:hAnsi="Times New Roman" w:cs="Times New Roman"/>
          <w:iCs/>
          <w:color w:val="000000" w:themeColor="text1"/>
          <w:sz w:val="24"/>
          <w:szCs w:val="24"/>
          <w:lang w:val="az-Latn-AZ"/>
        </w:rPr>
        <w:t>yy</w:t>
      </w:r>
      <w:r w:rsidRPr="00EA7862">
        <w:rPr>
          <w:rFonts w:ascii="Times New Roman" w:eastAsia="Times New Roman,Italic" w:hAnsi="Times New Roman" w:cs="Times New Roman"/>
          <w:iCs/>
          <w:color w:val="000000" w:themeColor="text1"/>
          <w:sz w:val="24"/>
          <w:szCs w:val="24"/>
          <w:lang w:val="az-Latn-AZ"/>
        </w:rPr>
        <w:t>ə</w:t>
      </w:r>
      <w:r w:rsidRPr="00EA7862">
        <w:rPr>
          <w:rFonts w:ascii="Times New Roman" w:hAnsi="Times New Roman" w:cs="Times New Roman"/>
          <w:iCs/>
          <w:color w:val="000000" w:themeColor="text1"/>
          <w:sz w:val="24"/>
          <w:szCs w:val="24"/>
          <w:lang w:val="az-Latn-AZ"/>
        </w:rPr>
        <w:t>nl</w:t>
      </w:r>
      <w:r w:rsidRPr="00EA7862">
        <w:rPr>
          <w:rFonts w:ascii="Times New Roman" w:eastAsia="Times New Roman,Italic" w:hAnsi="Times New Roman" w:cs="Times New Roman"/>
          <w:iCs/>
          <w:color w:val="000000" w:themeColor="text1"/>
          <w:sz w:val="24"/>
          <w:szCs w:val="24"/>
          <w:lang w:val="az-Latn-AZ"/>
        </w:rPr>
        <w:t>əşdirilmə</w:t>
      </w:r>
      <w:r w:rsidRPr="00EA7862">
        <w:rPr>
          <w:rFonts w:ascii="Times New Roman" w:hAnsi="Times New Roman" w:cs="Times New Roman"/>
          <w:iCs/>
          <w:color w:val="000000" w:themeColor="text1"/>
          <w:sz w:val="24"/>
          <w:szCs w:val="24"/>
          <w:lang w:val="az-Latn-AZ"/>
        </w:rPr>
        <w:t>si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Qlobal «Yoluxma» effektinin  milli  iqtisadiyyata təsiri.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val="az-Latn-AZ"/>
        </w:rPr>
        <w:t>Qiymətli kağızlarlarla əməliyyat aparan şirkətlər.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Maliyyə   bazarında  investisiya riskinin  qiymətləndirilməsi.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pacing w:val="-3"/>
          <w:sz w:val="24"/>
          <w:szCs w:val="24"/>
          <w:lang w:val="az-Latn-AZ"/>
        </w:rPr>
        <w:t>Azərbaycanda bank sisteminin fəaliyyətini tənzimləyən əsas qanunlar.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bCs/>
          <w:color w:val="000000" w:themeColor="text1"/>
          <w:spacing w:val="-6"/>
          <w:sz w:val="24"/>
          <w:szCs w:val="24"/>
          <w:lang w:val="az-Latn-AZ"/>
        </w:rPr>
        <w:t>Kreditin iqtisadiyyatda rolu.</w:t>
      </w:r>
    </w:p>
    <w:p w:rsidR="00B56F8E" w:rsidRPr="00EA7862" w:rsidRDefault="00B56F8E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Sığorta işinin təşkilinin prinsip və funksiyaları.</w:t>
      </w:r>
    </w:p>
    <w:p w:rsidR="00B56F8E" w:rsidRPr="00EA7862" w:rsidRDefault="00783764" w:rsidP="00EA786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A78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az-Latn-AZ"/>
        </w:rPr>
        <w:t>İslam maliyyə sistemi.</w:t>
      </w:r>
    </w:p>
    <w:sectPr w:rsidR="00B56F8E" w:rsidRPr="00EA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7BB"/>
    <w:multiLevelType w:val="hybridMultilevel"/>
    <w:tmpl w:val="1B98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105"/>
    <w:multiLevelType w:val="hybridMultilevel"/>
    <w:tmpl w:val="E9DA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DA3"/>
    <w:multiLevelType w:val="hybridMultilevel"/>
    <w:tmpl w:val="89A4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26C"/>
    <w:multiLevelType w:val="hybridMultilevel"/>
    <w:tmpl w:val="48FE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674"/>
    <w:multiLevelType w:val="hybridMultilevel"/>
    <w:tmpl w:val="23442E20"/>
    <w:lvl w:ilvl="0" w:tplc="73A63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E1AFA"/>
    <w:multiLevelType w:val="hybridMultilevel"/>
    <w:tmpl w:val="DB2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1D52"/>
    <w:multiLevelType w:val="hybridMultilevel"/>
    <w:tmpl w:val="74C2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1854"/>
    <w:multiLevelType w:val="hybridMultilevel"/>
    <w:tmpl w:val="FFA8637C"/>
    <w:lvl w:ilvl="0" w:tplc="2B6418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BE1A03"/>
    <w:multiLevelType w:val="hybridMultilevel"/>
    <w:tmpl w:val="F60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A7641"/>
    <w:multiLevelType w:val="hybridMultilevel"/>
    <w:tmpl w:val="E06AFB18"/>
    <w:lvl w:ilvl="0" w:tplc="0DC4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9B3329"/>
    <w:multiLevelType w:val="hybridMultilevel"/>
    <w:tmpl w:val="17CE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433F"/>
    <w:multiLevelType w:val="hybridMultilevel"/>
    <w:tmpl w:val="97C6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904B6"/>
    <w:multiLevelType w:val="hybridMultilevel"/>
    <w:tmpl w:val="95B8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7699"/>
    <w:multiLevelType w:val="hybridMultilevel"/>
    <w:tmpl w:val="8B72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679A"/>
    <w:multiLevelType w:val="hybridMultilevel"/>
    <w:tmpl w:val="BD1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3BF"/>
    <w:multiLevelType w:val="hybridMultilevel"/>
    <w:tmpl w:val="3B36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39EA"/>
    <w:multiLevelType w:val="hybridMultilevel"/>
    <w:tmpl w:val="54A6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A1FF7"/>
    <w:multiLevelType w:val="hybridMultilevel"/>
    <w:tmpl w:val="AE20B228"/>
    <w:lvl w:ilvl="0" w:tplc="B6A66DCC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C2F58"/>
    <w:multiLevelType w:val="hybridMultilevel"/>
    <w:tmpl w:val="FEF6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D1CF5"/>
    <w:multiLevelType w:val="hybridMultilevel"/>
    <w:tmpl w:val="3CE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D7ED5"/>
    <w:multiLevelType w:val="hybridMultilevel"/>
    <w:tmpl w:val="5A8A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36E50"/>
    <w:multiLevelType w:val="hybridMultilevel"/>
    <w:tmpl w:val="B378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726AD"/>
    <w:multiLevelType w:val="hybridMultilevel"/>
    <w:tmpl w:val="A6D8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7"/>
  </w:num>
  <w:num w:numId="5">
    <w:abstractNumId w:val="1"/>
  </w:num>
  <w:num w:numId="6">
    <w:abstractNumId w:val="19"/>
  </w:num>
  <w:num w:numId="7">
    <w:abstractNumId w:val="18"/>
  </w:num>
  <w:num w:numId="8">
    <w:abstractNumId w:val="9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22"/>
  </w:num>
  <w:num w:numId="21">
    <w:abstractNumId w:val="2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9"/>
    <w:rsid w:val="00001937"/>
    <w:rsid w:val="000436E0"/>
    <w:rsid w:val="000C1955"/>
    <w:rsid w:val="000D52A8"/>
    <w:rsid w:val="000E5A37"/>
    <w:rsid w:val="00122C35"/>
    <w:rsid w:val="00124E41"/>
    <w:rsid w:val="001256C0"/>
    <w:rsid w:val="00126979"/>
    <w:rsid w:val="00126FD2"/>
    <w:rsid w:val="001576AF"/>
    <w:rsid w:val="00176204"/>
    <w:rsid w:val="00184A31"/>
    <w:rsid w:val="001C0D3B"/>
    <w:rsid w:val="001D6E3C"/>
    <w:rsid w:val="0022227D"/>
    <w:rsid w:val="00262A09"/>
    <w:rsid w:val="002760D6"/>
    <w:rsid w:val="00285F2C"/>
    <w:rsid w:val="00292F90"/>
    <w:rsid w:val="002A140B"/>
    <w:rsid w:val="002B26A6"/>
    <w:rsid w:val="002B318C"/>
    <w:rsid w:val="002B4635"/>
    <w:rsid w:val="002F0BAD"/>
    <w:rsid w:val="002F45CC"/>
    <w:rsid w:val="00305B31"/>
    <w:rsid w:val="00314DE4"/>
    <w:rsid w:val="00321AD0"/>
    <w:rsid w:val="00337C33"/>
    <w:rsid w:val="00337F7A"/>
    <w:rsid w:val="00343A22"/>
    <w:rsid w:val="003A0B70"/>
    <w:rsid w:val="003B5A84"/>
    <w:rsid w:val="00423601"/>
    <w:rsid w:val="00433BE6"/>
    <w:rsid w:val="00441304"/>
    <w:rsid w:val="00460F68"/>
    <w:rsid w:val="00476C05"/>
    <w:rsid w:val="004D065C"/>
    <w:rsid w:val="004F7F9F"/>
    <w:rsid w:val="005254D5"/>
    <w:rsid w:val="005350A9"/>
    <w:rsid w:val="005421B9"/>
    <w:rsid w:val="00551BDB"/>
    <w:rsid w:val="00566E97"/>
    <w:rsid w:val="005728FA"/>
    <w:rsid w:val="00591742"/>
    <w:rsid w:val="005A11F9"/>
    <w:rsid w:val="005F4C08"/>
    <w:rsid w:val="005F643F"/>
    <w:rsid w:val="0067000A"/>
    <w:rsid w:val="00686492"/>
    <w:rsid w:val="006E62BD"/>
    <w:rsid w:val="00700AA1"/>
    <w:rsid w:val="0074555A"/>
    <w:rsid w:val="007626F5"/>
    <w:rsid w:val="00783764"/>
    <w:rsid w:val="007A44D8"/>
    <w:rsid w:val="00820344"/>
    <w:rsid w:val="008476AF"/>
    <w:rsid w:val="00853EFD"/>
    <w:rsid w:val="00873ABC"/>
    <w:rsid w:val="008909E0"/>
    <w:rsid w:val="008C4687"/>
    <w:rsid w:val="008F22CC"/>
    <w:rsid w:val="00920842"/>
    <w:rsid w:val="00937E02"/>
    <w:rsid w:val="009546D9"/>
    <w:rsid w:val="00970896"/>
    <w:rsid w:val="009945BC"/>
    <w:rsid w:val="009B7E4E"/>
    <w:rsid w:val="009C632A"/>
    <w:rsid w:val="009F2C99"/>
    <w:rsid w:val="00A46BFC"/>
    <w:rsid w:val="00A557C7"/>
    <w:rsid w:val="00A56983"/>
    <w:rsid w:val="00A655DB"/>
    <w:rsid w:val="00A6706F"/>
    <w:rsid w:val="00A7207C"/>
    <w:rsid w:val="00AA583A"/>
    <w:rsid w:val="00AD245F"/>
    <w:rsid w:val="00B34C47"/>
    <w:rsid w:val="00B56F8E"/>
    <w:rsid w:val="00B657D1"/>
    <w:rsid w:val="00B710B6"/>
    <w:rsid w:val="00BB0E40"/>
    <w:rsid w:val="00BB0ED1"/>
    <w:rsid w:val="00BE27FC"/>
    <w:rsid w:val="00C52B2F"/>
    <w:rsid w:val="00C81BD4"/>
    <w:rsid w:val="00CE47C5"/>
    <w:rsid w:val="00CF3922"/>
    <w:rsid w:val="00D41788"/>
    <w:rsid w:val="00DB0426"/>
    <w:rsid w:val="00DD709B"/>
    <w:rsid w:val="00E31E19"/>
    <w:rsid w:val="00E407A5"/>
    <w:rsid w:val="00E410A6"/>
    <w:rsid w:val="00E55FC4"/>
    <w:rsid w:val="00E933F9"/>
    <w:rsid w:val="00EA7862"/>
    <w:rsid w:val="00EC1B05"/>
    <w:rsid w:val="00F27E5F"/>
    <w:rsid w:val="00F4113B"/>
    <w:rsid w:val="00F7568D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2015-10-12T09:46:00Z</cp:lastPrinted>
  <dcterms:created xsi:type="dcterms:W3CDTF">2015-10-12T09:47:00Z</dcterms:created>
  <dcterms:modified xsi:type="dcterms:W3CDTF">2015-10-12T09:47:00Z</dcterms:modified>
</cp:coreProperties>
</file>