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6F" w:rsidRDefault="0043396F" w:rsidP="0043396F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</w:rPr>
        <w:drawing>
          <wp:inline distT="0" distB="0" distL="0" distR="0" wp14:anchorId="7F194122" wp14:editId="06E4C405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6F" w:rsidRDefault="0043396F" w:rsidP="0043396F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43396F" w:rsidRPr="00F56338" w:rsidRDefault="0043396F" w:rsidP="0043396F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:rsidR="0043396F" w:rsidRPr="00F56338" w:rsidRDefault="0043396F" w:rsidP="0043396F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:rsidR="0043396F" w:rsidRDefault="0043396F" w:rsidP="0043396F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:rsidR="0043396F" w:rsidRPr="00F56338" w:rsidRDefault="0043396F" w:rsidP="0043396F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bookmarkStart w:id="0" w:name="_GoBack"/>
      <w:bookmarkEnd w:id="0"/>
    </w:p>
    <w:p w:rsidR="00C93140" w:rsidRPr="00C93140" w:rsidRDefault="00C93140" w:rsidP="00DC2F2D">
      <w:pPr>
        <w:spacing w:line="216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140">
        <w:rPr>
          <w:rFonts w:ascii="Times New Roman" w:hAnsi="Times New Roman" w:cs="Times New Roman"/>
          <w:b/>
          <w:sz w:val="24"/>
          <w:szCs w:val="24"/>
          <w:lang w:val="en-US"/>
        </w:rPr>
        <w:t>International Economic law (2018-2019)</w:t>
      </w:r>
    </w:p>
    <w:p w:rsidR="00C93140" w:rsidRPr="00C93140" w:rsidRDefault="00C93140" w:rsidP="00DC2F2D">
      <w:pPr>
        <w:spacing w:line="216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140">
        <w:rPr>
          <w:rFonts w:ascii="Times New Roman" w:hAnsi="Times New Roman" w:cs="Times New Roman"/>
          <w:b/>
          <w:sz w:val="24"/>
          <w:szCs w:val="24"/>
          <w:lang w:val="en-US"/>
        </w:rPr>
        <w:t>Group – 1061</w:t>
      </w:r>
    </w:p>
    <w:p w:rsidR="00C93140" w:rsidRPr="00C93140" w:rsidRDefault="00C93140" w:rsidP="00DC2F2D">
      <w:pPr>
        <w:spacing w:line="216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F2D" w:rsidRPr="00A94BE1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lang w:val="en-US"/>
        </w:rPr>
      </w:pPr>
      <w:r w:rsidRPr="00A94BE1">
        <w:rPr>
          <w:rFonts w:ascii="Times New Roman" w:hAnsi="Times New Roman"/>
          <w:sz w:val="24"/>
          <w:szCs w:val="24"/>
          <w:lang w:val="en-US"/>
        </w:rPr>
        <w:t>Describe the basis of international economic law and the history of economic development</w:t>
      </w:r>
    </w:p>
    <w:p w:rsidR="00DC2F2D" w:rsidRPr="00A94BE1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A94BE1">
        <w:rPr>
          <w:rFonts w:ascii="Times New Roman" w:hAnsi="Times New Roman"/>
          <w:sz w:val="24"/>
          <w:szCs w:val="24"/>
          <w:lang w:val="en-US"/>
        </w:rPr>
        <w:t>ain sources of international economic law</w:t>
      </w:r>
    </w:p>
    <w:p w:rsidR="00DC2F2D" w:rsidRPr="00A94BE1" w:rsidRDefault="00DC2F2D" w:rsidP="00DC2F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Benefits and challenges of free trade</w:t>
      </w:r>
    </w:p>
    <w:p w:rsidR="00DC2F2D" w:rsidRDefault="00DC2F2D" w:rsidP="00DC2F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A94BE1">
        <w:rPr>
          <w:rFonts w:ascii="Times New Roman" w:hAnsi="Times New Roman"/>
          <w:sz w:val="24"/>
          <w:szCs w:val="24"/>
          <w:lang w:val="en-US"/>
        </w:rPr>
        <w:t>heories</w:t>
      </w:r>
      <w:r w:rsidRPr="00A94BE1">
        <w:rPr>
          <w:rFonts w:ascii="Times New Roman" w:hAnsi="Times New Roman"/>
          <w:sz w:val="24"/>
          <w:szCs w:val="24"/>
          <w:lang w:val="en-GB"/>
        </w:rPr>
        <w:t xml:space="preserve"> of economic integration (</w:t>
      </w:r>
      <w:r w:rsidRPr="00A94BE1">
        <w:rPr>
          <w:rFonts w:ascii="Times New Roman" w:hAnsi="Times New Roman"/>
          <w:bCs/>
          <w:sz w:val="24"/>
          <w:szCs w:val="24"/>
          <w:lang w:val="en-GB"/>
        </w:rPr>
        <w:t>Mercantilism, Liberalism and Neoliberalism)</w:t>
      </w:r>
    </w:p>
    <w:p w:rsidR="00DC2F2D" w:rsidRPr="00DC2F2D" w:rsidRDefault="00DC2F2D" w:rsidP="00DC2F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 w:rsidRPr="00DC2F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CISG and its applicable scope </w:t>
      </w:r>
    </w:p>
    <w:p w:rsidR="00DC2F2D" w:rsidRPr="00A94BE1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94BE1">
        <w:rPr>
          <w:rFonts w:ascii="Times New Roman" w:hAnsi="Times New Roman"/>
          <w:sz w:val="24"/>
          <w:szCs w:val="24"/>
          <w:lang w:val="en-US"/>
        </w:rPr>
        <w:t>Obligations of Seller under CISG</w:t>
      </w:r>
    </w:p>
    <w:p w:rsidR="00DC2F2D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94BE1">
        <w:rPr>
          <w:rFonts w:ascii="Times New Roman" w:hAnsi="Times New Roman"/>
          <w:sz w:val="24"/>
          <w:szCs w:val="24"/>
          <w:lang w:val="en-US"/>
        </w:rPr>
        <w:t>Obligations of Buyer under CISG</w:t>
      </w:r>
      <w:r>
        <w:rPr>
          <w:rFonts w:ascii="Times New Roman" w:hAnsi="Times New Roman"/>
          <w:sz w:val="24"/>
          <w:szCs w:val="24"/>
          <w:lang w:val="en-US"/>
        </w:rPr>
        <w:t>. Remedies for low quality goods.</w:t>
      </w:r>
    </w:p>
    <w:p w:rsidR="00DC2F2D" w:rsidRPr="00DC2F2D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C2F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importance of INCOTERMS rules.</w:t>
      </w:r>
    </w:p>
    <w:p w:rsidR="00DC2F2D" w:rsidRPr="00A94BE1" w:rsidRDefault="0043396F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hyperlink r:id="rId6" w:tgtFrame="_blank" w:history="1">
        <w:r w:rsidR="00DC2F2D" w:rsidRPr="00A94BE1">
          <w:rPr>
            <w:rFonts w:ascii="Times New Roman" w:hAnsi="Times New Roman"/>
            <w:sz w:val="24"/>
            <w:szCs w:val="24"/>
            <w:lang w:val="en-US"/>
          </w:rPr>
          <w:t xml:space="preserve">Why does Seller prefer to avoid </w:t>
        </w:r>
        <w:r w:rsidR="00DC2F2D">
          <w:rPr>
            <w:rFonts w:ascii="Times New Roman" w:hAnsi="Times New Roman"/>
            <w:sz w:val="24"/>
            <w:szCs w:val="24"/>
            <w:lang w:val="en-US"/>
          </w:rPr>
          <w:t>DDP terms</w:t>
        </w:r>
        <w:r w:rsidR="00DC2F2D" w:rsidRPr="00A94BE1">
          <w:rPr>
            <w:rFonts w:ascii="Times New Roman" w:hAnsi="Times New Roman"/>
            <w:sz w:val="24"/>
            <w:szCs w:val="24"/>
            <w:lang w:val="en-US"/>
          </w:rPr>
          <w:t>?</w:t>
        </w:r>
      </w:hyperlink>
      <w:r w:rsidR="00DC2F2D" w:rsidRPr="00A94B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Describe</w:t>
      </w:r>
      <w:r w:rsidR="00DC2F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the main features of that term.</w:t>
      </w:r>
    </w:p>
    <w:p w:rsidR="00DC2F2D" w:rsidRPr="00A94BE1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94B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main features of Group F of Incoterms 2010</w:t>
      </w:r>
    </w:p>
    <w:p w:rsidR="00DC2F2D" w:rsidRPr="00A94BE1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</w:t>
      </w:r>
      <w:r w:rsidRPr="00A94B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he main features of Group D of INCOTERMS 2010</w:t>
      </w:r>
    </w:p>
    <w:p w:rsidR="00DC2F2D" w:rsidRPr="00A94BE1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</w:t>
      </w:r>
      <w:r w:rsidRPr="00A94B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ifference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Pr="00A94B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between EXW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and DDP. Rights</w:t>
      </w:r>
      <w:r w:rsidRPr="006F7B1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 w:rsidRPr="00A94B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obligations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 the parties under these terms</w:t>
      </w:r>
      <w:r w:rsidRPr="006F7B1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DC2F2D" w:rsidRPr="00A94BE1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94B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Maritime transport and its modalities</w:t>
      </w:r>
    </w:p>
    <w:p w:rsidR="00DC2F2D" w:rsidRPr="00A94BE1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94B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Bill of lading and its functions</w:t>
      </w:r>
    </w:p>
    <w:p w:rsidR="00DC2F2D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94BE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Marine insurance and its distinctive features</w:t>
      </w:r>
    </w:p>
    <w:p w:rsidR="00DC2F2D" w:rsidRPr="00DC2F2D" w:rsidRDefault="00DC2F2D" w:rsidP="00DC2F2D">
      <w:pPr>
        <w:pStyle w:val="a3"/>
        <w:numPr>
          <w:ilvl w:val="0"/>
          <w:numId w:val="4"/>
        </w:numPr>
        <w:spacing w:after="0" w:line="276" w:lineRule="auto"/>
        <w:ind w:left="9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C2F2D">
        <w:rPr>
          <w:rFonts w:ascii="Times New Roman" w:hAnsi="Times New Roman"/>
          <w:sz w:val="24"/>
          <w:szCs w:val="24"/>
          <w:lang w:val="en-US"/>
        </w:rPr>
        <w:t>What is the difference between trademarks, patents and copyrights?</w:t>
      </w:r>
    </w:p>
    <w:p w:rsidR="00DC2F2D" w:rsidRPr="00A94BE1" w:rsidRDefault="00DC2F2D" w:rsidP="00DC2F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 w:rsidRPr="00A94BE1">
        <w:rPr>
          <w:rFonts w:ascii="Times New Roman" w:hAnsi="Times New Roman"/>
          <w:sz w:val="24"/>
          <w:szCs w:val="24"/>
          <w:lang w:val="en-US"/>
        </w:rPr>
        <w:t>What is a trade secret?</w:t>
      </w:r>
    </w:p>
    <w:p w:rsidR="00DC2F2D" w:rsidRPr="00A94BE1" w:rsidRDefault="00DC2F2D" w:rsidP="00DC2F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 w:rsidRPr="00A94BE1">
        <w:rPr>
          <w:rFonts w:ascii="Times New Roman" w:hAnsi="Times New Roman"/>
          <w:sz w:val="24"/>
          <w:szCs w:val="24"/>
          <w:lang w:val="en-US"/>
        </w:rPr>
        <w:t>Exploitation of a trademark</w:t>
      </w:r>
    </w:p>
    <w:p w:rsidR="00DC2F2D" w:rsidRPr="00A94BE1" w:rsidRDefault="00DC2F2D" w:rsidP="00DC2F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 w:rsidRPr="00A94BE1">
        <w:rPr>
          <w:rFonts w:ascii="Times New Roman" w:hAnsi="Times New Roman"/>
          <w:sz w:val="24"/>
          <w:szCs w:val="24"/>
          <w:lang w:val="en-US"/>
        </w:rPr>
        <w:t xml:space="preserve">List types of IP rights </w:t>
      </w:r>
      <w:r>
        <w:rPr>
          <w:rFonts w:ascii="Times New Roman" w:hAnsi="Times New Roman"/>
          <w:sz w:val="24"/>
          <w:szCs w:val="24"/>
          <w:lang w:val="en-US"/>
        </w:rPr>
        <w:t>and give definition for each</w:t>
      </w:r>
    </w:p>
    <w:p w:rsidR="00DC2F2D" w:rsidRPr="00A94BE1" w:rsidRDefault="00DC2F2D" w:rsidP="00DC2F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 w:rsidRPr="00A94BE1">
        <w:rPr>
          <w:rFonts w:ascii="Times New Roman" w:hAnsi="Times New Roman"/>
          <w:sz w:val="24"/>
          <w:szCs w:val="24"/>
          <w:lang w:val="en-US"/>
        </w:rPr>
        <w:t>Main principles and features of TRIPS agreement</w:t>
      </w:r>
    </w:p>
    <w:p w:rsidR="00DC2F2D" w:rsidRDefault="00DC2F2D" w:rsidP="00DC2F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 w:rsidRPr="00A94BE1">
        <w:rPr>
          <w:rFonts w:ascii="Times New Roman" w:hAnsi="Times New Roman"/>
          <w:sz w:val="24"/>
          <w:szCs w:val="24"/>
          <w:lang w:val="en-US"/>
        </w:rPr>
        <w:t>Doha Declaration and public health concern</w:t>
      </w:r>
    </w:p>
    <w:p w:rsidR="00DC2F2D" w:rsidRPr="00DC2F2D" w:rsidRDefault="00DC2F2D" w:rsidP="00DC2F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 w:rsidRPr="00DC2F2D">
        <w:rPr>
          <w:rFonts w:ascii="Times New Roman" w:eastAsia="Times New Roman" w:hAnsi="Times New Roman"/>
          <w:kern w:val="36"/>
          <w:sz w:val="24"/>
          <w:szCs w:val="24"/>
          <w:lang w:val="en-US"/>
        </w:rPr>
        <w:t>What is the difference between exemption and credit methods for the avoidance of double taxation?</w:t>
      </w:r>
    </w:p>
    <w:p w:rsidR="00DC2F2D" w:rsidRPr="00A94BE1" w:rsidRDefault="00D9032B" w:rsidP="00DC2F2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90"/>
        <w:outlineLvl w:val="0"/>
        <w:rPr>
          <w:rFonts w:ascii="Times New Roman" w:eastAsia="Times New Roman" w:hAnsi="Times New Roman"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36"/>
          <w:sz w:val="24"/>
          <w:szCs w:val="24"/>
          <w:lang w:val="en-US"/>
        </w:rPr>
        <w:t>H</w:t>
      </w:r>
      <w:r w:rsidR="00DC2F2D" w:rsidRPr="00A94BE1">
        <w:rPr>
          <w:rFonts w:ascii="Times New Roman" w:eastAsia="Times New Roman" w:hAnsi="Times New Roman"/>
          <w:kern w:val="36"/>
          <w:sz w:val="24"/>
          <w:szCs w:val="24"/>
          <w:lang w:val="en-US"/>
        </w:rPr>
        <w:t xml:space="preserve">armful effects of double </w:t>
      </w:r>
      <w:r>
        <w:rPr>
          <w:rFonts w:ascii="Times New Roman" w:eastAsia="Times New Roman" w:hAnsi="Times New Roman"/>
          <w:kern w:val="36"/>
          <w:sz w:val="24"/>
          <w:szCs w:val="24"/>
          <w:lang w:val="en-US"/>
        </w:rPr>
        <w:t>taxation</w:t>
      </w:r>
    </w:p>
    <w:p w:rsidR="00DC2F2D" w:rsidRPr="00A94BE1" w:rsidRDefault="00DC2F2D" w:rsidP="00DC2F2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90"/>
        <w:outlineLvl w:val="0"/>
        <w:rPr>
          <w:rFonts w:ascii="Times New Roman" w:eastAsia="Times New Roman" w:hAnsi="Times New Roman"/>
          <w:kern w:val="36"/>
          <w:sz w:val="24"/>
          <w:szCs w:val="24"/>
          <w:lang w:val="en-US"/>
        </w:rPr>
      </w:pPr>
      <w:r w:rsidRPr="00A94BE1">
        <w:rPr>
          <w:rFonts w:ascii="Times New Roman" w:eastAsia="Times New Roman" w:hAnsi="Times New Roman"/>
          <w:kern w:val="36"/>
          <w:sz w:val="24"/>
          <w:szCs w:val="24"/>
          <w:lang w:val="en-US"/>
        </w:rPr>
        <w:t xml:space="preserve">Which persons and taxes </w:t>
      </w:r>
      <w:proofErr w:type="gramStart"/>
      <w:r w:rsidRPr="00A94BE1">
        <w:rPr>
          <w:rFonts w:ascii="Times New Roman" w:eastAsia="Times New Roman" w:hAnsi="Times New Roman"/>
          <w:kern w:val="36"/>
          <w:sz w:val="24"/>
          <w:szCs w:val="24"/>
          <w:lang w:val="en-US"/>
        </w:rPr>
        <w:t>are covered by double tax treaties</w:t>
      </w:r>
      <w:proofErr w:type="gramEnd"/>
      <w:r w:rsidRPr="00A94BE1">
        <w:rPr>
          <w:rFonts w:ascii="Times New Roman" w:eastAsia="Times New Roman" w:hAnsi="Times New Roman"/>
          <w:kern w:val="36"/>
          <w:sz w:val="24"/>
          <w:szCs w:val="24"/>
          <w:lang w:val="en-US"/>
        </w:rPr>
        <w:t>?</w:t>
      </w:r>
    </w:p>
    <w:p w:rsidR="00DC2F2D" w:rsidRPr="00DC2F2D" w:rsidRDefault="00DC2F2D" w:rsidP="00DC2F2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90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94BE1">
        <w:rPr>
          <w:rFonts w:ascii="Times New Roman" w:eastAsia="Times New Roman" w:hAnsi="Times New Roman"/>
          <w:kern w:val="36"/>
          <w:sz w:val="24"/>
          <w:szCs w:val="24"/>
          <w:lang w:val="en-US"/>
        </w:rPr>
        <w:t>Which DTA form and documents</w:t>
      </w:r>
      <w:r>
        <w:rPr>
          <w:rFonts w:ascii="Times New Roman" w:eastAsia="Times New Roman" w:hAnsi="Times New Roman"/>
          <w:kern w:val="36"/>
          <w:sz w:val="24"/>
          <w:szCs w:val="24"/>
          <w:lang w:val="en-US"/>
        </w:rPr>
        <w:t xml:space="preserve"> (procedure as well)</w:t>
      </w:r>
      <w:r w:rsidRPr="00A94BE1">
        <w:rPr>
          <w:rFonts w:ascii="Times New Roman" w:eastAsia="Times New Roman" w:hAnsi="Times New Roman"/>
          <w:kern w:val="36"/>
          <w:sz w:val="24"/>
          <w:szCs w:val="24"/>
          <w:lang w:val="en-US"/>
        </w:rPr>
        <w:t xml:space="preserve"> are required for the tax exemption and application of lower rates under the Rules of Ministry of Taxes on Administration of Double Tax Treaties? </w:t>
      </w:r>
    </w:p>
    <w:p w:rsidR="009805D4" w:rsidRPr="00DC2F2D" w:rsidRDefault="009805D4" w:rsidP="00DC2F2D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90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C2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Sources of international investment law</w:t>
      </w:r>
    </w:p>
    <w:p w:rsidR="009805D4" w:rsidRPr="00C93140" w:rsidRDefault="00C93140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“I</w:t>
      </w:r>
      <w:r w:rsidR="009805D4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nvestment</w:t>
      </w:r>
      <w:r w:rsidR="009805D4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” as an e</w:t>
      </w:r>
      <w:proofErr w:type="spellStart"/>
      <w:r w:rsidR="009805D4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conomic</w:t>
      </w:r>
      <w:proofErr w:type="spellEnd"/>
      <w:r w:rsidR="009805D4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concept </w:t>
      </w:r>
      <w:r w:rsidR="00183822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(5 tier test)</w:t>
      </w:r>
    </w:p>
    <w:p w:rsidR="00183822" w:rsidRPr="00C93140" w:rsidRDefault="00C93140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“I</w:t>
      </w:r>
      <w:r w:rsidR="00183822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nvestment” as a legal concept under BITs</w:t>
      </w:r>
    </w:p>
    <w:p w:rsidR="00183822" w:rsidRPr="00C93140" w:rsidRDefault="00183822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Salini</w:t>
      </w:r>
      <w:proofErr w:type="spellEnd"/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test</w:t>
      </w:r>
    </w:p>
    <w:p w:rsidR="00183822" w:rsidRPr="00C93140" w:rsidRDefault="00183822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Natural person as an investor (Requirements)</w:t>
      </w:r>
    </w:p>
    <w:p w:rsidR="00183822" w:rsidRPr="00C93140" w:rsidRDefault="00183822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The tests used to define the legal entities as investors</w:t>
      </w:r>
    </w:p>
    <w:p w:rsidR="00183822" w:rsidRPr="00C93140" w:rsidRDefault="00183822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“Denial of benefits” clause</w:t>
      </w:r>
    </w:p>
    <w:p w:rsidR="00183822" w:rsidRPr="00C93140" w:rsidRDefault="00183822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Are shareholders be considered as investors?</w:t>
      </w:r>
    </w:p>
    <w:p w:rsidR="00183822" w:rsidRPr="00C93140" w:rsidRDefault="00183822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nature of investors: </w:t>
      </w: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public or private?</w:t>
      </w:r>
    </w:p>
    <w:p w:rsidR="00183822" w:rsidRPr="00C93140" w:rsidRDefault="00183822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requirements for lawful expropriation</w:t>
      </w:r>
    </w:p>
    <w:p w:rsidR="00183822" w:rsidRPr="00C93140" w:rsidRDefault="00183822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Compensation for expropriation measures</w:t>
      </w:r>
    </w:p>
    <w:p w:rsidR="00183822" w:rsidRPr="00C93140" w:rsidRDefault="00183822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Public purpose for lawful expropriation</w:t>
      </w:r>
    </w:p>
    <w:p w:rsidR="009A4637" w:rsidRPr="00C93140" w:rsidRDefault="009A4637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Actual approaches to indirect expropriation</w:t>
      </w:r>
    </w:p>
    <w:p w:rsidR="009805D4" w:rsidRPr="00C93140" w:rsidRDefault="009805D4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Decisive factors of indirect expropriation</w:t>
      </w:r>
    </w:p>
    <w:p w:rsidR="009A4637" w:rsidRPr="00C93140" w:rsidRDefault="009A4637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Standards of investment protection</w:t>
      </w:r>
    </w:p>
    <w:p w:rsidR="009A4637" w:rsidRPr="00C93140" w:rsidRDefault="00AE3A6D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Types of </w:t>
      </w:r>
      <w:r w:rsidR="009A4637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Investor-state dispute settlement</w:t>
      </w:r>
    </w:p>
    <w:p w:rsidR="001E736C" w:rsidRPr="00C93140" w:rsidRDefault="00C93140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“</w:t>
      </w:r>
      <w:proofErr w:type="spellStart"/>
      <w:r w:rsidR="001E736C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Calvo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="001E736C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doctrine in investment disputes</w:t>
      </w:r>
    </w:p>
    <w:p w:rsidR="00F47835" w:rsidRPr="00C93140" w:rsidRDefault="00F47835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Choice </w:t>
      </w:r>
      <w:r w:rsidR="00191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challenge </w:t>
      </w: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Arbitrators under ICSID Convention</w:t>
      </w:r>
    </w:p>
    <w:p w:rsidR="00AE3A6D" w:rsidRPr="00C93140" w:rsidRDefault="00AE3A6D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ICSID award</w:t>
      </w:r>
    </w:p>
    <w:p w:rsidR="00F47835" w:rsidRPr="00C93140" w:rsidRDefault="00AE3A6D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Post award remedies under </w:t>
      </w:r>
      <w:r w:rsidR="00F47835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ICSID </w:t>
      </w: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Convention</w:t>
      </w:r>
    </w:p>
    <w:p w:rsidR="009A4637" w:rsidRPr="00C93140" w:rsidRDefault="009A4637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9805D4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unctions of the WTO</w:t>
      </w:r>
    </w:p>
    <w:p w:rsidR="00AE3A6D" w:rsidRPr="00C93140" w:rsidRDefault="00AE3A6D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History of WTO</w:t>
      </w:r>
    </w:p>
    <w:p w:rsidR="009A4637" w:rsidRPr="00C93140" w:rsidRDefault="009805D4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Membership in WTO system</w:t>
      </w:r>
    </w:p>
    <w:p w:rsidR="00AE3A6D" w:rsidRPr="00C93140" w:rsidRDefault="00AE3A6D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WTO </w:t>
      </w:r>
      <w:r w:rsidR="00C93140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Secretariat</w:t>
      </w:r>
    </w:p>
    <w:p w:rsidR="009805D4" w:rsidRDefault="009805D4" w:rsidP="00DC2F2D">
      <w:pPr>
        <w:pStyle w:val="a3"/>
        <w:numPr>
          <w:ilvl w:val="0"/>
          <w:numId w:val="4"/>
        </w:numPr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WTO`s institutional structure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Determination of dumping in the GATT/WTO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 xml:space="preserve">The methods to calculate a product`s normal value for dumping purposes 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Antidumping measures under WTO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Definition of a Subsidy under WTO rules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Substantive requirements to adopt countervailing measures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Main procedures in WTO dispute settlement mechanism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The main steps of Panel procedure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Implementation in WTO Dispute Settlement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The main functions of International Monetary Fund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Current and capital transfers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Core principles of WTO law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Most Favoured Nation (MFN) principle in the WTO law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“Advantage” element of MFN principle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“Like products” element of MFN principle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National treatment</w:t>
      </w:r>
      <w:r w:rsidRPr="00711975">
        <w:rPr>
          <w:rFonts w:ascii="Times New Roman" w:hAnsi="Times New Roman" w:cs="Times New Roman"/>
          <w:sz w:val="24"/>
          <w:szCs w:val="24"/>
          <w:lang w:val="en-GB"/>
        </w:rPr>
        <w:t xml:space="preserve"> principle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 xml:space="preserve">Trade barriers and WTO approach 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Transparency principle of WTO law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Types of international banking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 xml:space="preserve">Competition law and policy (definition and their </w:t>
      </w:r>
      <w:r>
        <w:rPr>
          <w:rFonts w:ascii="Times New Roman" w:hAnsi="Times New Roman" w:cs="Times New Roman"/>
          <w:sz w:val="24"/>
          <w:szCs w:val="24"/>
          <w:lang w:val="en-GB"/>
        </w:rPr>
        <w:t>goals</w:t>
      </w:r>
      <w:r w:rsidRPr="0071197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Anticompetitive agreements and their types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 xml:space="preserve">Bid rigging and its negative impacts to competition 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Concerted practice in the competition law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 xml:space="preserve">The concept of </w:t>
      </w:r>
      <w:r>
        <w:rPr>
          <w:rFonts w:ascii="Times New Roman" w:hAnsi="Times New Roman" w:cs="Times New Roman"/>
          <w:sz w:val="24"/>
          <w:szCs w:val="24"/>
          <w:lang w:val="az-Latn-AZ"/>
        </w:rPr>
        <w:t>“</w:t>
      </w:r>
      <w:r w:rsidRPr="00711975">
        <w:rPr>
          <w:rFonts w:ascii="Times New Roman" w:hAnsi="Times New Roman" w:cs="Times New Roman"/>
          <w:sz w:val="24"/>
          <w:szCs w:val="24"/>
          <w:lang w:val="en-GB"/>
        </w:rPr>
        <w:t>undertaking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711975">
        <w:rPr>
          <w:rFonts w:ascii="Times New Roman" w:hAnsi="Times New Roman" w:cs="Times New Roman"/>
          <w:sz w:val="24"/>
          <w:szCs w:val="24"/>
          <w:lang w:val="en-GB"/>
        </w:rPr>
        <w:t xml:space="preserve"> in the competition law</w:t>
      </w:r>
    </w:p>
    <w:p w:rsidR="00DC2F2D" w:rsidRPr="00711975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Consequences of anticompetitive practice</w:t>
      </w:r>
    </w:p>
    <w:p w:rsidR="00DC2F2D" w:rsidRPr="007E099C" w:rsidRDefault="00DC2F2D" w:rsidP="00DC2F2D">
      <w:pPr>
        <w:pStyle w:val="a3"/>
        <w:numPr>
          <w:ilvl w:val="0"/>
          <w:numId w:val="4"/>
        </w:numPr>
        <w:spacing w:line="27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Leniency program</w:t>
      </w:r>
    </w:p>
    <w:p w:rsidR="00DC2F2D" w:rsidRPr="00C93140" w:rsidRDefault="00DC2F2D" w:rsidP="00DC2F2D">
      <w:pPr>
        <w:pStyle w:val="a3"/>
        <w:spacing w:line="30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805D4" w:rsidRPr="00C93140" w:rsidRDefault="009805D4" w:rsidP="00DC2F2D">
      <w:pPr>
        <w:ind w:left="90" w:hanging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805D4" w:rsidRPr="00C9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797F"/>
    <w:multiLevelType w:val="hybridMultilevel"/>
    <w:tmpl w:val="54A6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4585"/>
    <w:multiLevelType w:val="hybridMultilevel"/>
    <w:tmpl w:val="4A3C2FD6"/>
    <w:lvl w:ilvl="0" w:tplc="BCE67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6B58"/>
    <w:multiLevelType w:val="hybridMultilevel"/>
    <w:tmpl w:val="EA7886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E46F8"/>
    <w:multiLevelType w:val="hybridMultilevel"/>
    <w:tmpl w:val="9C40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4011B"/>
    <w:multiLevelType w:val="hybridMultilevel"/>
    <w:tmpl w:val="2EFA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D4"/>
    <w:rsid w:val="00183822"/>
    <w:rsid w:val="00191739"/>
    <w:rsid w:val="001E736C"/>
    <w:rsid w:val="0043396F"/>
    <w:rsid w:val="00593FE8"/>
    <w:rsid w:val="00862995"/>
    <w:rsid w:val="009805D4"/>
    <w:rsid w:val="009A4637"/>
    <w:rsid w:val="00AA3DE2"/>
    <w:rsid w:val="00AE3A6D"/>
    <w:rsid w:val="00B07465"/>
    <w:rsid w:val="00C93140"/>
    <w:rsid w:val="00D9032B"/>
    <w:rsid w:val="00DC2F2D"/>
    <w:rsid w:val="00F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258D-1B1F-4C9F-AB42-4B3AB27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profs.com/discuss/q/192283/why-does-workz-prefer-to-avoid-selling-ddp-terms-our-cust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2018-12-26T11:41:00Z</dcterms:created>
  <dcterms:modified xsi:type="dcterms:W3CDTF">2018-12-26T11:44:00Z</dcterms:modified>
</cp:coreProperties>
</file>