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C" w:rsidRDefault="00E06C2C" w:rsidP="00E06C2C">
      <w:pPr>
        <w:jc w:val="center"/>
        <w:rPr>
          <w:sz w:val="28"/>
          <w:lang w:val="az-Latn-AZ"/>
        </w:rPr>
      </w:pPr>
      <w:r>
        <w:rPr>
          <w:sz w:val="28"/>
          <w:lang w:val="az-Latn-AZ"/>
        </w:rPr>
        <w:t>“Standartlaşdırma və sertifikasiya” kafedrası üzrə “Doktorantura” şöbəsinə veriləcək imtahan biletlərinin sualları</w:t>
      </w:r>
    </w:p>
    <w:p w:rsidR="00E06C2C" w:rsidRDefault="00E06C2C" w:rsidP="00E06C2C">
      <w:pPr>
        <w:jc w:val="center"/>
        <w:rPr>
          <w:sz w:val="28"/>
          <w:lang w:val="az-Latn-AZ"/>
        </w:rPr>
      </w:pP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1. Standartlaşdırmanın iqtisadi səmərəliliyinin hesablanmasının müqayisəetmə metodu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2. Akkreditləşdirmə üzrə orqanın iş prinsipi 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3. Simplifikasiya və sistemləşdirmə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4. Standartlaşdırmadan alınan faktiki iqtisadi səmərənin qiymətləndirilməsi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5. Nəzarət sınaqları və tamamlayıcı sınaqlar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6. Ümumi texniki şərtlərin standartları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7. Müstəqil Dövlətlər Birliyində standartlaşdırma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8. Sınaq laboratoriyasının tipik strukturu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9. Nəzarət metodları üçün standartlar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10. Sertifikatlaşdırma üzrə Milli orqanın vəzifələri 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11. Sınaq laboratoriyalarının fəaliyyətinə qoyulan tələblər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12. Standartların kateqoriyaları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13. Təsnifatlaşdırmanın faset metodu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14. Qəbul sınaqları və ilkin sınaqlar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15. Azərbaycan Resp</w:t>
      </w:r>
      <w:bookmarkStart w:id="0" w:name="_GoBack"/>
      <w:bookmarkEnd w:id="0"/>
      <w:r>
        <w:rPr>
          <w:sz w:val="28"/>
          <w:lang w:val="az-Latn-AZ"/>
        </w:rPr>
        <w:t xml:space="preserve">ublikasının Standartlaşdırma Metrologiya və Patent üzrə Dövlət Komitəsinin  funksiyaları 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16. Standartların tətbiqinin üsulları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17. Müəssisədə keyfiyyət sisteminin setrifikatlaşdırılmasının əsas mərhələləri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18. Xidmətlər üçün standartlar 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19. AZS Milli sertifikatlaşdırma sisteminin təskilatı strukturu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20. Sınaq laboratoriyalarının texniki səriştəliliyi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21. Standartlaşdırma üzrə texniki komitələrin funksiyaları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22. Qabaqlayan standartlaşdırmada qabaqlama dövrü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23.Dövlət standartlarının standartlaşdırma obyektləri.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24.Obyektlərin kodlaşdırılmasında paralel metod.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25.Məhsulun etibarlılıq sınaqları.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26.Məhsullar üçün standartlar.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27.BEK-in məqsədi, vəzifələri və strukturu.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28.Sertifikatlaşdırma üzrə orqanda koordinasiya və müşahidəçi şuralar.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29.Unifikasiya və aqreqatlaşdırma.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30.Təsnifatlaşdırmanın ierarxiya metodu.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31.İlkin sınaqlar və dövri orqanlar.</w:t>
      </w:r>
    </w:p>
    <w:p w:rsidR="00E06C2C" w:rsidRPr="000775D8" w:rsidRDefault="00E06C2C" w:rsidP="00E06C2C">
      <w:pPr>
        <w:jc w:val="both"/>
        <w:rPr>
          <w:sz w:val="28"/>
          <w:lang w:val="az-Latn-AZ"/>
        </w:rPr>
      </w:pPr>
      <w:r w:rsidRPr="000775D8">
        <w:rPr>
          <w:sz w:val="28"/>
          <w:lang w:val="az-Latn-AZ"/>
        </w:rPr>
        <w:t>32.Dövlət standartlarının məcburi tələbləri.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33. Unifikasiya və tipləşdirmə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34. Məhsulların istehsal və istismar keyfiyyətinə təsir edən amillər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35. Sertifikatlaşdırma üzrə orqana qoyulan tələblər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36. Sertifikatlaşdırma prosesinin ümumiləşdirilmiş sxemi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37. Müəssisədə standartlaşdırma bölmələrinin fəaliyyətinin təşkili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38. Dövlət standartlarının məcburi tələblərinə riayət olunmasına dövlət nəzarətinin təşkili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39. Akkreditləşdirmə üzrə orqanın təşkilatı strukturu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lastRenderedPageBreak/>
        <w:t>40. Standartlaşdırma üzrə texniki komitələrin tipik strukturu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41. Beynəlxalq standartların Azərbaycan Respublikasında tətbiqi qaydaları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42. Sertifikatlaşdırılmış obyektə müfəttis nəzarəti 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43.Obyektlərin kodlaşdırılmasında ardıcıl metod.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44.Təhvil-təslim və dövri sınaqlar.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45.Əsasverici standartlar.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46.İSO təşkiolatının məqsədi, vəzifələri, strukturu.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47.Sertifikatlaşdırma üzrə orqanın inzibati strukturu.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48. Sertifikatlaşdırma sahəsində əsas terminlər və təyinlər.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49. Kompleks standartlaşdırma proqramlarının işlənib hazırlanma mərhələləri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50. Sertifikatlaşdırma obyekti məhsul olduqda uyğunluğun qiymətləndirilməsi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51. Təsnifatlaşdırmanın faset metodu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52. Standartlaşdırma sahəsində əsas terminlər və təyinlər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53. Kompleks standartlaşdırma proqramları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54. Standartlaşdırma üzrə texniki komitələrin funksiyaları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55. Kompleks standartlaşdırma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56. Sertifikatlaşdırma üzrə orqanın funksiyaları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57. Sınağın əsas növlərinin təsnifatı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58. Standartlaşdırmanın məqsədləri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59. Qabaqlayan standartlaşdırmanın  mahiyyəti</w:t>
      </w:r>
    </w:p>
    <w:p w:rsidR="00E06C2C" w:rsidRDefault="00E06C2C" w:rsidP="00E06C2C">
      <w:pPr>
        <w:jc w:val="both"/>
        <w:rPr>
          <w:sz w:val="28"/>
          <w:lang w:val="az-Latn-AZ"/>
        </w:rPr>
      </w:pPr>
      <w:r>
        <w:rPr>
          <w:sz w:val="28"/>
          <w:lang w:val="az-Latn-AZ"/>
        </w:rPr>
        <w:t>60. Xidmətlərin sertifikatlaşdırılması zamanı uyğunluğun  qiymətləndirilməsi</w:t>
      </w:r>
    </w:p>
    <w:p w:rsidR="00E06C2C" w:rsidRDefault="00E06C2C" w:rsidP="00E06C2C">
      <w:pPr>
        <w:jc w:val="center"/>
        <w:rPr>
          <w:sz w:val="28"/>
          <w:lang w:val="az-Latn-AZ"/>
        </w:rPr>
      </w:pPr>
    </w:p>
    <w:p w:rsidR="00E06C2C" w:rsidRDefault="00E06C2C" w:rsidP="00E06C2C">
      <w:pPr>
        <w:jc w:val="center"/>
        <w:rPr>
          <w:sz w:val="28"/>
          <w:lang w:val="az-Latn-AZ"/>
        </w:rPr>
      </w:pPr>
    </w:p>
    <w:p w:rsidR="002E34A7" w:rsidRPr="00E06C2C" w:rsidRDefault="002E34A7">
      <w:pPr>
        <w:rPr>
          <w:lang w:val="az-Latn-AZ"/>
        </w:rPr>
      </w:pPr>
    </w:p>
    <w:sectPr w:rsidR="002E34A7" w:rsidRPr="00E0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2"/>
    <w:rsid w:val="000775D8"/>
    <w:rsid w:val="002E34A7"/>
    <w:rsid w:val="00724152"/>
    <w:rsid w:val="00E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Yusifova</dc:creator>
  <cp:keywords/>
  <dc:description/>
  <cp:lastModifiedBy>Leyla Yusifova</cp:lastModifiedBy>
  <cp:revision>4</cp:revision>
  <cp:lastPrinted>2015-10-12T10:05:00Z</cp:lastPrinted>
  <dcterms:created xsi:type="dcterms:W3CDTF">2015-10-12T10:05:00Z</dcterms:created>
  <dcterms:modified xsi:type="dcterms:W3CDTF">2015-10-13T04:33:00Z</dcterms:modified>
</cp:coreProperties>
</file>