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8B" w:rsidRPr="0023748B" w:rsidRDefault="0023748B" w:rsidP="0023748B">
      <w:pPr>
        <w:spacing w:after="0" w:line="240" w:lineRule="auto"/>
        <w:rPr>
          <w:rFonts w:ascii="Times New Roman" w:hAnsi="Times New Roman"/>
          <w:sz w:val="24"/>
          <w:szCs w:val="18"/>
          <w:lang w:val="az-Latn-AZ"/>
        </w:rPr>
      </w:pPr>
      <w:r>
        <w:rPr>
          <w:rFonts w:ascii="Times New Roman" w:hAnsi="Times New Roman"/>
          <w:sz w:val="24"/>
          <w:szCs w:val="18"/>
          <w:lang w:val="az-Latn-AZ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67B25FFF" wp14:editId="41199CEB">
            <wp:extent cx="828675" cy="857250"/>
            <wp:effectExtent l="0" t="0" r="9525" b="0"/>
            <wp:docPr id="1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8B" w:rsidRPr="0023748B" w:rsidRDefault="0023748B" w:rsidP="002374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:rsidR="0023748B" w:rsidRPr="0023748B" w:rsidRDefault="0023748B" w:rsidP="0023748B">
      <w:pPr>
        <w:pStyle w:val="a3"/>
        <w:spacing w:after="0" w:line="240" w:lineRule="auto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 xml:space="preserve">                          </w:t>
      </w:r>
      <w:r w:rsidRPr="0023748B">
        <w:rPr>
          <w:rFonts w:ascii="Times New Roman" w:hAnsi="Times New Roman"/>
          <w:b/>
          <w:sz w:val="24"/>
          <w:szCs w:val="18"/>
          <w:lang w:val="az-Latn-AZ"/>
        </w:rPr>
        <w:t>AZƏRBAYCAN RESPUBLİKASI  TƏHSİL NAZİRLİYİ</w:t>
      </w:r>
    </w:p>
    <w:p w:rsidR="0023748B" w:rsidRPr="0023748B" w:rsidRDefault="0023748B" w:rsidP="0023748B">
      <w:pPr>
        <w:pStyle w:val="a3"/>
        <w:spacing w:after="0" w:line="240" w:lineRule="auto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 xml:space="preserve">                           </w:t>
      </w:r>
      <w:r w:rsidRPr="0023748B">
        <w:rPr>
          <w:rFonts w:ascii="Times New Roman" w:hAnsi="Times New Roman"/>
          <w:b/>
          <w:sz w:val="24"/>
          <w:szCs w:val="18"/>
          <w:lang w:val="az-Latn-AZ"/>
        </w:rPr>
        <w:t>AZƏRBAYCAN DÖVLƏT İQTİSAD UNİVERSİTETİ</w:t>
      </w:r>
    </w:p>
    <w:p w:rsidR="0023748B" w:rsidRDefault="0023748B" w:rsidP="0023748B">
      <w:pPr>
        <w:pStyle w:val="a3"/>
        <w:spacing w:after="0" w:line="240" w:lineRule="auto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 xml:space="preserve">                            </w:t>
      </w:r>
      <w:r w:rsidRPr="0023748B">
        <w:rPr>
          <w:rFonts w:ascii="Times New Roman" w:hAnsi="Times New Roman"/>
          <w:b/>
          <w:sz w:val="24"/>
          <w:szCs w:val="18"/>
          <w:lang w:val="az-Latn-AZ"/>
        </w:rPr>
        <w:t>BEYNƏLXALQ İQTİSADİYYAT MƏKTƏBİ</w:t>
      </w:r>
    </w:p>
    <w:p w:rsidR="0023748B" w:rsidRDefault="0023748B" w:rsidP="0023748B">
      <w:pPr>
        <w:pStyle w:val="a3"/>
        <w:spacing w:after="0" w:line="240" w:lineRule="auto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>Müəllim: İlkin Əliyev</w:t>
      </w:r>
    </w:p>
    <w:p w:rsidR="0023748B" w:rsidRDefault="0023748B" w:rsidP="0023748B">
      <w:pPr>
        <w:pStyle w:val="a3"/>
        <w:spacing w:after="0" w:line="240" w:lineRule="auto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>Fənn: TNK</w:t>
      </w:r>
    </w:p>
    <w:p w:rsidR="0023748B" w:rsidRDefault="0023748B" w:rsidP="0023748B">
      <w:pPr>
        <w:pStyle w:val="a3"/>
        <w:spacing w:after="0" w:line="240" w:lineRule="auto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>Qr</w:t>
      </w:r>
      <w:r w:rsidR="0091239D">
        <w:rPr>
          <w:rFonts w:ascii="Times New Roman" w:hAnsi="Times New Roman"/>
          <w:b/>
          <w:sz w:val="24"/>
          <w:szCs w:val="18"/>
          <w:lang w:val="az-Latn-AZ"/>
        </w:rPr>
        <w:t>up 1003-1004</w:t>
      </w:r>
    </w:p>
    <w:p w:rsidR="0091239D" w:rsidRPr="0023748B" w:rsidRDefault="0091239D" w:rsidP="0023748B">
      <w:pPr>
        <w:pStyle w:val="a3"/>
        <w:spacing w:after="0" w:line="240" w:lineRule="auto"/>
        <w:rPr>
          <w:rFonts w:ascii="Times New Roman" w:hAnsi="Times New Roman"/>
          <w:b/>
          <w:sz w:val="24"/>
          <w:szCs w:val="18"/>
          <w:lang w:val="az-Latn-AZ"/>
        </w:rPr>
      </w:pPr>
      <w:bookmarkStart w:id="0" w:name="_GoBack"/>
      <w:bookmarkEnd w:id="0"/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Describe 3 conditions for internationalization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 xml:space="preserve">Explain TNC-development as a sequential process 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>Draw and describe globally concentrated production of TNC?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>Draw and describe host market production of TNC.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>Draw and describe vertical integration of TNC production.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Benefits and costs of outsourcing.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>The potential direct effect of inward investment (investing in home country).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>The potential indirect effect of inward investment (investing in home country).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>TNCs effects on HOST economies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 xml:space="preserve"> Mode of entry to HOST economies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 xml:space="preserve">Types of Foreign Investment 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>Why do MNC invest in developing countries?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>Positive and negative influence of TNC to employment in developing countries?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 xml:space="preserve"> Possible advantages of FDI by TNC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>Possible disadvantages of FDI by TNC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>What the transfer pricing is</w:t>
      </w:r>
    </w:p>
    <w:p w:rsid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>Why MNC use Transfer Pricing</w:t>
      </w:r>
    </w:p>
    <w:p w:rsid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Types of transfer pricing</w:t>
      </w:r>
    </w:p>
    <w:p w:rsidR="00FA1268" w:rsidRPr="0023748B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Transfer Pricing: </w:t>
      </w:r>
      <w:r w:rsidRPr="0023748B">
        <w:rPr>
          <w:rFonts w:ascii="Times New Roman" w:hAnsi="Times New Roman" w:cs="Times New Roman"/>
          <w:sz w:val="28"/>
          <w:szCs w:val="28"/>
          <w:lang w:val="en-US"/>
        </w:rPr>
        <w:t>Comparable uncontrolled price (CUP) method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A1268">
        <w:rPr>
          <w:rFonts w:ascii="Times New Roman" w:hAnsi="Times New Roman" w:cs="Times New Roman"/>
          <w:sz w:val="28"/>
          <w:szCs w:val="28"/>
          <w:lang w:val="az-Latn-AZ"/>
        </w:rPr>
        <w:t xml:space="preserve">Transfer Pricing: </w:t>
      </w:r>
      <w:proofErr w:type="spellStart"/>
      <w:r w:rsidRPr="00FA1268">
        <w:rPr>
          <w:rFonts w:ascii="Times New Roman" w:hAnsi="Times New Roman" w:cs="Times New Roman"/>
          <w:sz w:val="28"/>
          <w:szCs w:val="28"/>
          <w:lang w:val="ru-RU"/>
        </w:rPr>
        <w:t>Resale</w:t>
      </w:r>
      <w:proofErr w:type="spellEnd"/>
      <w:r w:rsidRPr="00FA1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1268">
        <w:rPr>
          <w:rFonts w:ascii="Times New Roman" w:hAnsi="Times New Roman" w:cs="Times New Roman"/>
          <w:sz w:val="28"/>
          <w:szCs w:val="28"/>
          <w:lang w:val="ru-RU"/>
        </w:rPr>
        <w:t>price</w:t>
      </w:r>
      <w:proofErr w:type="spellEnd"/>
      <w:r w:rsidRPr="00FA1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1268">
        <w:rPr>
          <w:rFonts w:ascii="Times New Roman" w:hAnsi="Times New Roman" w:cs="Times New Roman"/>
          <w:sz w:val="28"/>
          <w:szCs w:val="28"/>
          <w:lang w:val="ru-RU"/>
        </w:rPr>
        <w:t>method</w:t>
      </w:r>
      <w:proofErr w:type="spellEnd"/>
    </w:p>
    <w:p w:rsid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Transfer Pricing: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268">
        <w:rPr>
          <w:rFonts w:ascii="Times New Roman" w:hAnsi="Times New Roman" w:cs="Times New Roman"/>
          <w:sz w:val="28"/>
          <w:szCs w:val="28"/>
        </w:rPr>
        <w:t>Cost plus method</w:t>
      </w:r>
    </w:p>
    <w:p w:rsidR="00FA1268" w:rsidRPr="0023748B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1268">
        <w:rPr>
          <w:rFonts w:ascii="Times New Roman" w:hAnsi="Times New Roman" w:cs="Times New Roman"/>
          <w:sz w:val="28"/>
          <w:szCs w:val="28"/>
          <w:lang w:val="az-Latn-AZ"/>
        </w:rPr>
        <w:t>Transfer Pricing: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8B">
        <w:rPr>
          <w:rFonts w:ascii="Times New Roman" w:hAnsi="Times New Roman" w:cs="Times New Roman"/>
          <w:sz w:val="28"/>
          <w:szCs w:val="28"/>
          <w:lang w:val="en-US"/>
        </w:rPr>
        <w:t>Transactional net margin method (TNMM)</w:t>
      </w:r>
    </w:p>
    <w:p w:rsidR="00830FBD" w:rsidRPr="0023748B" w:rsidRDefault="00830FBD" w:rsidP="00830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30FBD">
        <w:rPr>
          <w:rFonts w:ascii="Times New Roman" w:hAnsi="Times New Roman" w:cs="Times New Roman"/>
          <w:sz w:val="28"/>
          <w:szCs w:val="28"/>
          <w:lang w:val="az-Latn-AZ"/>
        </w:rPr>
        <w:t>Transfer Pricing: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3748B">
        <w:rPr>
          <w:rFonts w:ascii="Times New Roman" w:hAnsi="Times New Roman" w:cs="Times New Roman"/>
          <w:sz w:val="28"/>
          <w:szCs w:val="28"/>
          <w:lang w:val="en-US"/>
        </w:rPr>
        <w:t>Transactional profit split method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>Incentives to attract FDI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 xml:space="preserve"> FDI – Problems and accountability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lastRenderedPageBreak/>
        <w:t xml:space="preserve"> Is there a need for international economic agreements concerning the regulation of multinational corporations? 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What others want of multinationals?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>What is greenfield investment (inward and outward)?</w:t>
      </w:r>
    </w:p>
    <w:p w:rsidR="00FA1268" w:rsidRPr="0098329F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29F">
        <w:rPr>
          <w:rFonts w:ascii="Times New Roman" w:hAnsi="Times New Roman" w:cs="Times New Roman"/>
          <w:sz w:val="28"/>
          <w:szCs w:val="28"/>
        </w:rPr>
        <w:t xml:space="preserve"> If global institutional arrangements for regulation of TNC cannot be created (at least in the short run), what can individual countries do?</w:t>
      </w:r>
    </w:p>
    <w:p w:rsid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Environment necessary for FDI</w:t>
      </w:r>
      <w:r w:rsidR="008F4D20">
        <w:rPr>
          <w:rFonts w:ascii="Times New Roman" w:hAnsi="Times New Roman" w:cs="Times New Roman"/>
          <w:sz w:val="28"/>
          <w:szCs w:val="28"/>
        </w:rPr>
        <w:t xml:space="preserve"> (Business environment types)</w:t>
      </w:r>
    </w:p>
    <w:p w:rsidR="008F4D20" w:rsidRPr="008F4D20" w:rsidRDefault="008F4D20" w:rsidP="008F4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Components of </w:t>
      </w:r>
      <w:r w:rsidR="001A05C9">
        <w:rPr>
          <w:rFonts w:ascii="Times New Roman" w:hAnsi="Times New Roman" w:cs="Times New Roman"/>
          <w:sz w:val="28"/>
          <w:szCs w:val="28"/>
        </w:rPr>
        <w:t>External Micro Environment</w:t>
      </w:r>
    </w:p>
    <w:p w:rsidR="00525205" w:rsidRDefault="001A05C9" w:rsidP="001A0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External Micro Environment: </w:t>
      </w:r>
      <w:r w:rsidRPr="001A05C9">
        <w:rPr>
          <w:rFonts w:ascii="Times New Roman" w:hAnsi="Times New Roman" w:cs="Times New Roman"/>
          <w:sz w:val="28"/>
          <w:szCs w:val="28"/>
        </w:rPr>
        <w:t>Suppliers of Inputs</w:t>
      </w:r>
    </w:p>
    <w:p w:rsidR="001A05C9" w:rsidRDefault="001A05C9" w:rsidP="001A0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5C9">
        <w:rPr>
          <w:rFonts w:ascii="Times New Roman" w:hAnsi="Times New Roman" w:cs="Times New Roman"/>
          <w:sz w:val="28"/>
          <w:szCs w:val="28"/>
        </w:rPr>
        <w:t>External Micro Environment: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5C9">
        <w:rPr>
          <w:rFonts w:ascii="Times New Roman" w:hAnsi="Times New Roman" w:cs="Times New Roman"/>
          <w:sz w:val="28"/>
          <w:szCs w:val="28"/>
        </w:rPr>
        <w:t>Customers</w:t>
      </w:r>
    </w:p>
    <w:p w:rsidR="001A05C9" w:rsidRDefault="00BD45FB" w:rsidP="00BD4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5C9">
        <w:rPr>
          <w:rFonts w:ascii="Times New Roman" w:hAnsi="Times New Roman" w:cs="Times New Roman"/>
          <w:sz w:val="28"/>
          <w:szCs w:val="28"/>
        </w:rPr>
        <w:t>External Micro Environment: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5FB">
        <w:rPr>
          <w:rFonts w:ascii="Times New Roman" w:hAnsi="Times New Roman" w:cs="Times New Roman"/>
          <w:sz w:val="28"/>
          <w:szCs w:val="28"/>
        </w:rPr>
        <w:t>Marketing Intermediaries</w:t>
      </w:r>
    </w:p>
    <w:p w:rsidR="00BD45FB" w:rsidRDefault="00BD45FB" w:rsidP="00BD4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5C9">
        <w:rPr>
          <w:rFonts w:ascii="Times New Roman" w:hAnsi="Times New Roman" w:cs="Times New Roman"/>
          <w:sz w:val="28"/>
          <w:szCs w:val="28"/>
        </w:rPr>
        <w:t>External Micro Environment: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5FB">
        <w:rPr>
          <w:rFonts w:ascii="Times New Roman" w:hAnsi="Times New Roman" w:cs="Times New Roman"/>
          <w:sz w:val="28"/>
          <w:szCs w:val="28"/>
        </w:rPr>
        <w:t>Competitors</w:t>
      </w:r>
    </w:p>
    <w:p w:rsidR="00BD45FB" w:rsidRPr="00BD45FB" w:rsidRDefault="00BD45FB" w:rsidP="00BD4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5FB">
        <w:rPr>
          <w:rFonts w:ascii="Times New Roman" w:hAnsi="Times New Roman" w:cs="Times New Roman"/>
          <w:sz w:val="28"/>
          <w:szCs w:val="28"/>
        </w:rPr>
        <w:t>External Micro Environment: Publics</w:t>
      </w:r>
    </w:p>
    <w:p w:rsidR="00BD45FB" w:rsidRDefault="00375A60" w:rsidP="00375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Components of </w:t>
      </w:r>
      <w:r w:rsidRPr="00375A60">
        <w:rPr>
          <w:rFonts w:ascii="Times New Roman" w:hAnsi="Times New Roman" w:cs="Times New Roman"/>
          <w:sz w:val="28"/>
          <w:szCs w:val="28"/>
        </w:rPr>
        <w:t>External macro-environmental factors</w:t>
      </w:r>
    </w:p>
    <w:p w:rsidR="00375A60" w:rsidRDefault="00375A60" w:rsidP="00375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A60">
        <w:rPr>
          <w:rFonts w:ascii="Times New Roman" w:hAnsi="Times New Roman" w:cs="Times New Roman"/>
          <w:sz w:val="28"/>
          <w:szCs w:val="28"/>
        </w:rPr>
        <w:t>External macro-environmental factors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5A60">
        <w:rPr>
          <w:rFonts w:ascii="Times New Roman" w:hAnsi="Times New Roman" w:cs="Times New Roman"/>
          <w:sz w:val="28"/>
          <w:szCs w:val="28"/>
        </w:rPr>
        <w:t>Economic Environment</w:t>
      </w:r>
    </w:p>
    <w:p w:rsidR="00375A60" w:rsidRPr="00375A60" w:rsidRDefault="00375A60" w:rsidP="00375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3748B">
        <w:rPr>
          <w:rFonts w:ascii="Times New Roman" w:hAnsi="Times New Roman" w:cs="Times New Roman"/>
          <w:sz w:val="28"/>
          <w:szCs w:val="28"/>
          <w:lang w:val="en-US"/>
        </w:rPr>
        <w:t>External macro-environmental factors: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5A60">
        <w:rPr>
          <w:rFonts w:ascii="Times New Roman" w:hAnsi="Times New Roman" w:cs="Times New Roman"/>
          <w:sz w:val="28"/>
          <w:szCs w:val="28"/>
          <w:lang w:val="az-Latn-AZ"/>
        </w:rPr>
        <w:t>Social and Cultural Environment</w:t>
      </w:r>
    </w:p>
    <w:p w:rsidR="00375A60" w:rsidRPr="00375A60" w:rsidRDefault="00375A60" w:rsidP="00375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3748B">
        <w:rPr>
          <w:rFonts w:ascii="Times New Roman" w:hAnsi="Times New Roman" w:cs="Times New Roman"/>
          <w:sz w:val="28"/>
          <w:szCs w:val="28"/>
          <w:lang w:val="en-US"/>
        </w:rPr>
        <w:t>External macro-environmental factors: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5A60">
        <w:rPr>
          <w:rFonts w:ascii="Times New Roman" w:hAnsi="Times New Roman" w:cs="Times New Roman"/>
          <w:sz w:val="28"/>
          <w:szCs w:val="28"/>
          <w:lang w:val="az-Latn-AZ"/>
        </w:rPr>
        <w:t>Political and Legal Environment</w:t>
      </w:r>
    </w:p>
    <w:p w:rsidR="00375A60" w:rsidRDefault="00F838A3" w:rsidP="00F83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8B">
        <w:rPr>
          <w:rFonts w:ascii="Times New Roman" w:hAnsi="Times New Roman" w:cs="Times New Roman"/>
          <w:sz w:val="28"/>
          <w:szCs w:val="28"/>
          <w:lang w:val="en-US"/>
        </w:rPr>
        <w:t>External macro-environmental factors: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838A3">
        <w:rPr>
          <w:rFonts w:ascii="Times New Roman" w:hAnsi="Times New Roman" w:cs="Times New Roman"/>
          <w:sz w:val="28"/>
          <w:szCs w:val="28"/>
        </w:rPr>
        <w:t>Technological Environment</w:t>
      </w:r>
    </w:p>
    <w:p w:rsidR="00035B55" w:rsidRDefault="00035B55" w:rsidP="00035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B55">
        <w:rPr>
          <w:rFonts w:ascii="Times New Roman" w:hAnsi="Times New Roman" w:cs="Times New Roman"/>
          <w:sz w:val="28"/>
          <w:szCs w:val="28"/>
        </w:rPr>
        <w:t>External macro-environmental factors: Demographic Environment</w:t>
      </w:r>
    </w:p>
    <w:p w:rsidR="00AD06DD" w:rsidRDefault="00AD06DD" w:rsidP="00AD0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DD">
        <w:rPr>
          <w:rFonts w:ascii="Times New Roman" w:hAnsi="Times New Roman" w:cs="Times New Roman"/>
          <w:sz w:val="28"/>
          <w:szCs w:val="28"/>
        </w:rPr>
        <w:t>External macro-environmental factors: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DD">
        <w:rPr>
          <w:rFonts w:ascii="Times New Roman" w:hAnsi="Times New Roman" w:cs="Times New Roman"/>
          <w:sz w:val="28"/>
          <w:szCs w:val="28"/>
        </w:rPr>
        <w:t>Natural Environment</w:t>
      </w:r>
    </w:p>
    <w:p w:rsidR="00AD06DD" w:rsidRPr="00AD06DD" w:rsidRDefault="00AD06DD" w:rsidP="00AD0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DD">
        <w:rPr>
          <w:rFonts w:ascii="Times New Roman" w:hAnsi="Times New Roman" w:cs="Times New Roman"/>
          <w:sz w:val="28"/>
          <w:szCs w:val="28"/>
        </w:rPr>
        <w:t>External macro-environmental factors: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DD">
        <w:rPr>
          <w:rFonts w:ascii="Times New Roman" w:hAnsi="Times New Roman" w:cs="Times New Roman"/>
          <w:sz w:val="28"/>
          <w:szCs w:val="28"/>
        </w:rPr>
        <w:t>Ecological Effects of Business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Main provisions of International agreements on investment protection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Investment ranks to attract investment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Overall target manning levels of Azerbaijani citizen employees pertaining to Petroleum Operations under PSA Agreement on Azeri-</w:t>
      </w:r>
      <w:proofErr w:type="spellStart"/>
      <w:r w:rsidRPr="00FA1268">
        <w:rPr>
          <w:rFonts w:ascii="Times New Roman" w:hAnsi="Times New Roman" w:cs="Times New Roman"/>
          <w:sz w:val="28"/>
          <w:szCs w:val="28"/>
        </w:rPr>
        <w:t>Chirag</w:t>
      </w:r>
      <w:proofErr w:type="spellEnd"/>
      <w:r w:rsidRPr="00FA12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1268">
        <w:rPr>
          <w:rFonts w:ascii="Times New Roman" w:hAnsi="Times New Roman" w:cs="Times New Roman"/>
          <w:sz w:val="28"/>
          <w:szCs w:val="28"/>
        </w:rPr>
        <w:t>Guneshli</w:t>
      </w:r>
      <w:proofErr w:type="spellEnd"/>
      <w:r w:rsidRPr="00FA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Tax exemptions under PSA Agreement on Azeri-</w:t>
      </w:r>
      <w:proofErr w:type="spellStart"/>
      <w:r w:rsidRPr="00FA1268">
        <w:rPr>
          <w:rFonts w:ascii="Times New Roman" w:hAnsi="Times New Roman" w:cs="Times New Roman"/>
          <w:sz w:val="28"/>
          <w:szCs w:val="28"/>
        </w:rPr>
        <w:t>Chirag</w:t>
      </w:r>
      <w:proofErr w:type="spellEnd"/>
      <w:r w:rsidRPr="00FA12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1268">
        <w:rPr>
          <w:rFonts w:ascii="Times New Roman" w:hAnsi="Times New Roman" w:cs="Times New Roman"/>
          <w:sz w:val="28"/>
          <w:szCs w:val="28"/>
        </w:rPr>
        <w:t>Guneshli</w:t>
      </w:r>
      <w:proofErr w:type="spellEnd"/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Exemptions from Foreign Trade Regulation under PSA Agreement on Azeri-</w:t>
      </w:r>
      <w:proofErr w:type="spellStart"/>
      <w:r w:rsidRPr="00FA1268">
        <w:rPr>
          <w:rFonts w:ascii="Times New Roman" w:hAnsi="Times New Roman" w:cs="Times New Roman"/>
          <w:sz w:val="28"/>
          <w:szCs w:val="28"/>
        </w:rPr>
        <w:t>Chirag</w:t>
      </w:r>
      <w:proofErr w:type="spellEnd"/>
      <w:r w:rsidRPr="00FA12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1268">
        <w:rPr>
          <w:rFonts w:ascii="Times New Roman" w:hAnsi="Times New Roman" w:cs="Times New Roman"/>
          <w:sz w:val="28"/>
          <w:szCs w:val="28"/>
        </w:rPr>
        <w:t>Guneshli</w:t>
      </w:r>
      <w:proofErr w:type="spellEnd"/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Foreign Exchange provisions under PSA Agreement on Azeri-</w:t>
      </w:r>
      <w:proofErr w:type="spellStart"/>
      <w:r w:rsidRPr="00FA1268">
        <w:rPr>
          <w:rFonts w:ascii="Times New Roman" w:hAnsi="Times New Roman" w:cs="Times New Roman"/>
          <w:sz w:val="28"/>
          <w:szCs w:val="28"/>
        </w:rPr>
        <w:t>Chirag</w:t>
      </w:r>
      <w:proofErr w:type="spellEnd"/>
      <w:r w:rsidRPr="00FA12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1268">
        <w:rPr>
          <w:rFonts w:ascii="Times New Roman" w:hAnsi="Times New Roman" w:cs="Times New Roman"/>
          <w:sz w:val="28"/>
          <w:szCs w:val="28"/>
        </w:rPr>
        <w:t>Guneshli</w:t>
      </w:r>
      <w:proofErr w:type="spellEnd"/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 xml:space="preserve">PSA details of Agreement between </w:t>
      </w:r>
      <w:proofErr w:type="spellStart"/>
      <w:r w:rsidRPr="00FA1268">
        <w:rPr>
          <w:rFonts w:ascii="Times New Roman" w:hAnsi="Times New Roman" w:cs="Times New Roman"/>
          <w:sz w:val="28"/>
          <w:szCs w:val="28"/>
        </w:rPr>
        <w:t>Taxaco</w:t>
      </w:r>
      <w:proofErr w:type="spellEnd"/>
      <w:r w:rsidRPr="00FA1268">
        <w:rPr>
          <w:rFonts w:ascii="Times New Roman" w:hAnsi="Times New Roman" w:cs="Times New Roman"/>
          <w:sz w:val="28"/>
          <w:szCs w:val="28"/>
        </w:rPr>
        <w:t xml:space="preserve"> and State of Ecuador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Issues that gave a rise to a dispute between the State of Ecuador and Texaco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Basis for the claim of Texaco against State of Ecuador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 xml:space="preserve">Arguments of Ecuador for nullification of penalty imposed 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 xml:space="preserve">Terms of agreement </w:t>
      </w:r>
      <w:proofErr w:type="spellStart"/>
      <w:r w:rsidRPr="00FA1268">
        <w:rPr>
          <w:rFonts w:ascii="Times New Roman" w:hAnsi="Times New Roman" w:cs="Times New Roman"/>
          <w:sz w:val="28"/>
          <w:szCs w:val="28"/>
        </w:rPr>
        <w:t>Texpet</w:t>
      </w:r>
      <w:proofErr w:type="spellEnd"/>
      <w:r w:rsidRPr="00FA1268">
        <w:rPr>
          <w:rFonts w:ascii="Times New Roman" w:hAnsi="Times New Roman" w:cs="Times New Roman"/>
          <w:sz w:val="28"/>
          <w:szCs w:val="28"/>
        </w:rPr>
        <w:t xml:space="preserve"> reached with its partner </w:t>
      </w:r>
      <w:proofErr w:type="spellStart"/>
      <w:r w:rsidRPr="00FA1268">
        <w:rPr>
          <w:rFonts w:ascii="Times New Roman" w:hAnsi="Times New Roman" w:cs="Times New Roman"/>
          <w:sz w:val="28"/>
          <w:szCs w:val="28"/>
        </w:rPr>
        <w:t>Petroecuador</w:t>
      </w:r>
      <w:proofErr w:type="spellEnd"/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lastRenderedPageBreak/>
        <w:t>Subject of clime of Amazon Defence Coalition against Chevron-</w:t>
      </w:r>
      <w:proofErr w:type="spellStart"/>
      <w:r w:rsidRPr="00FA1268">
        <w:rPr>
          <w:rFonts w:ascii="Times New Roman" w:hAnsi="Times New Roman" w:cs="Times New Roman"/>
          <w:sz w:val="28"/>
          <w:szCs w:val="28"/>
        </w:rPr>
        <w:t>texaco</w:t>
      </w:r>
      <w:proofErr w:type="spellEnd"/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Which incentives on tax regulation may be granted to Investors (TNC)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Which incentives on Foreign Trade Regulation may be granted to Investors (TNC)</w:t>
      </w:r>
    </w:p>
    <w:p w:rsidR="00FA1268" w:rsidRPr="00FA1268" w:rsidRDefault="00CB2B32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FA1268" w:rsidRPr="00FA1268">
        <w:rPr>
          <w:rFonts w:ascii="Times New Roman" w:hAnsi="Times New Roman" w:cs="Times New Roman"/>
          <w:sz w:val="28"/>
          <w:szCs w:val="28"/>
        </w:rPr>
        <w:t xml:space="preserve">Infrastructure subsidies </w:t>
      </w:r>
      <w:r>
        <w:rPr>
          <w:rFonts w:ascii="Times New Roman" w:hAnsi="Times New Roman" w:cs="Times New Roman"/>
          <w:sz w:val="28"/>
          <w:szCs w:val="28"/>
        </w:rPr>
        <w:t>envisage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Which exemptions on customs regulation may be granted to TNC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 xml:space="preserve">Which concessions may require TNC to invest to the country 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 xml:space="preserve">How can transfer pricing work? 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How saving gaps can be addressed through FDI</w:t>
      </w:r>
    </w:p>
    <w:p w:rsid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 xml:space="preserve">Principles of elimination of double taxation 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Terms for Expropriation of FDI under Agreement on Investment protection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Compensation for Losses under Agreement on Investment protection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>Transfer rights under Agreement on Investment protection</w:t>
      </w:r>
    </w:p>
    <w:p w:rsidR="00FA1268" w:rsidRPr="00FA1268" w:rsidRDefault="00FA1268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268">
        <w:rPr>
          <w:rFonts w:ascii="Times New Roman" w:hAnsi="Times New Roman" w:cs="Times New Roman"/>
          <w:sz w:val="28"/>
          <w:szCs w:val="28"/>
        </w:rPr>
        <w:t xml:space="preserve">Means of Dispute Settlement, Time Periods </w:t>
      </w:r>
    </w:p>
    <w:p w:rsidR="00E9149D" w:rsidRPr="00E9149D" w:rsidRDefault="00AD529B" w:rsidP="00E914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49D">
        <w:rPr>
          <w:rFonts w:ascii="Times New Roman" w:hAnsi="Times New Roman" w:cs="Times New Roman"/>
          <w:sz w:val="28"/>
          <w:szCs w:val="28"/>
        </w:rPr>
        <w:t xml:space="preserve"> </w:t>
      </w:r>
      <w:r w:rsidR="00E9149D" w:rsidRPr="00E9149D">
        <w:rPr>
          <w:rFonts w:ascii="Times New Roman" w:hAnsi="Times New Roman" w:cs="Times New Roman"/>
          <w:sz w:val="28"/>
          <w:szCs w:val="28"/>
        </w:rPr>
        <w:t>Need for Public-Private Partnership (PPP)</w:t>
      </w:r>
    </w:p>
    <w:p w:rsidR="00FA1268" w:rsidRDefault="00AD529B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Factors attracting private companies to Public-Private Partnership (PPP)</w:t>
      </w:r>
    </w:p>
    <w:p w:rsidR="00AD529B" w:rsidRDefault="00AD529B" w:rsidP="00FA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PPP Risk Categories</w:t>
      </w:r>
    </w:p>
    <w:p w:rsidR="00AD529B" w:rsidRDefault="00AD529B" w:rsidP="00AD52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 of third party risk mitigation in PPP</w:t>
      </w:r>
    </w:p>
    <w:p w:rsidR="00E9149D" w:rsidRDefault="00E9149D" w:rsidP="00AD52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PPP are financed </w:t>
      </w:r>
    </w:p>
    <w:p w:rsidR="00E9149D" w:rsidRDefault="00C05CCC" w:rsidP="00AD52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PPP payment mechanisms </w:t>
      </w:r>
    </w:p>
    <w:p w:rsidR="00DB490B" w:rsidRPr="00FA1268" w:rsidRDefault="00DB490B" w:rsidP="00AD52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Recent development on greening policies </w:t>
      </w:r>
    </w:p>
    <w:p w:rsidR="00E26F2E" w:rsidRDefault="0091239D"/>
    <w:sectPr w:rsidR="00E26F2E" w:rsidSect="00EE7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27DF"/>
    <w:multiLevelType w:val="hybridMultilevel"/>
    <w:tmpl w:val="D4AE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46DA"/>
    <w:multiLevelType w:val="hybridMultilevel"/>
    <w:tmpl w:val="893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68"/>
    <w:rsid w:val="00035B55"/>
    <w:rsid w:val="001A05C9"/>
    <w:rsid w:val="0023748B"/>
    <w:rsid w:val="00375A60"/>
    <w:rsid w:val="00452CD5"/>
    <w:rsid w:val="00525205"/>
    <w:rsid w:val="005D1868"/>
    <w:rsid w:val="0072639E"/>
    <w:rsid w:val="007B39D5"/>
    <w:rsid w:val="00830FBD"/>
    <w:rsid w:val="008F4D20"/>
    <w:rsid w:val="0091239D"/>
    <w:rsid w:val="00AD06DD"/>
    <w:rsid w:val="00AD529B"/>
    <w:rsid w:val="00BD45FB"/>
    <w:rsid w:val="00C05CCC"/>
    <w:rsid w:val="00CB2B32"/>
    <w:rsid w:val="00DB490B"/>
    <w:rsid w:val="00E9149D"/>
    <w:rsid w:val="00F838A3"/>
    <w:rsid w:val="00F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2D87-83A4-4552-B229-B5CB8F5B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68"/>
    <w:pPr>
      <w:spacing w:after="200" w:line="276" w:lineRule="auto"/>
      <w:ind w:left="720"/>
      <w:contextualSpacing/>
    </w:pPr>
    <w:rPr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FA12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4D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Ilkin S. Aliyev</dc:creator>
  <cp:keywords/>
  <dc:description/>
  <cp:lastModifiedBy>admin</cp:lastModifiedBy>
  <cp:revision>3</cp:revision>
  <dcterms:created xsi:type="dcterms:W3CDTF">2018-12-26T06:25:00Z</dcterms:created>
  <dcterms:modified xsi:type="dcterms:W3CDTF">2018-12-26T07:55:00Z</dcterms:modified>
</cp:coreProperties>
</file>