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D1" w:rsidRPr="00DA4B28" w:rsidRDefault="006832D1" w:rsidP="006832D1">
      <w:pPr>
        <w:pStyle w:val="ListParagraph"/>
        <w:numPr>
          <w:ilvl w:val="0"/>
          <w:numId w:val="1"/>
        </w:numPr>
        <w:spacing w:after="160" w:line="360" w:lineRule="auto"/>
        <w:rPr>
          <w:rFonts w:ascii="Times" w:eastAsia="Calibri" w:hAnsi="Times" w:cs="Times New Roman"/>
          <w:color w:val="000000"/>
          <w:sz w:val="20"/>
          <w:szCs w:val="20"/>
          <w:lang w:val="en-US"/>
        </w:rPr>
      </w:pPr>
      <w:bookmarkStart w:id="0" w:name="_GoBack"/>
      <w:bookmarkEnd w:id="0"/>
      <w:r w:rsidRPr="00DA4B28">
        <w:rPr>
          <w:rFonts w:ascii="Times" w:hAnsi="Times" w:cs="Times New Roman"/>
          <w:sz w:val="20"/>
          <w:szCs w:val="20"/>
        </w:rPr>
        <w:t xml:space="preserve">Distinguish among the three types of responsibility centers. </w:t>
      </w:r>
    </w:p>
    <w:p w:rsidR="006832D1" w:rsidRPr="00DA4B28" w:rsidRDefault="006832D1" w:rsidP="006832D1">
      <w:pPr>
        <w:numPr>
          <w:ilvl w:val="0"/>
          <w:numId w:val="1"/>
        </w:numPr>
        <w:spacing w:after="200" w:line="360" w:lineRule="auto"/>
        <w:contextualSpacing/>
        <w:rPr>
          <w:rFonts w:ascii="Times" w:eastAsia="Calibri" w:hAnsi="Times" w:cs="Times New Roman"/>
          <w:sz w:val="20"/>
          <w:szCs w:val="20"/>
          <w:lang w:val="en-US"/>
        </w:rPr>
      </w:pPr>
      <w:r w:rsidRPr="00DA4B28">
        <w:rPr>
          <w:rFonts w:ascii="Times" w:eastAsia="Calibri" w:hAnsi="Times" w:cs="Times New Roman"/>
          <w:sz w:val="20"/>
          <w:szCs w:val="20"/>
          <w:lang w:val="en-US"/>
        </w:rPr>
        <w:t xml:space="preserve">The main reasons for using absorption costing are for </w:t>
      </w:r>
      <w:r w:rsidRPr="00DA4B28">
        <w:rPr>
          <w:rFonts w:ascii="Times" w:eastAsia="Calibri" w:hAnsi="Times" w:cs="Times New Roman"/>
          <w:bCs/>
          <w:sz w:val="20"/>
          <w:szCs w:val="20"/>
          <w:lang w:val="en-US"/>
        </w:rPr>
        <w:t>inventory valuations</w:t>
      </w:r>
      <w:r w:rsidRPr="00DA4B28">
        <w:rPr>
          <w:rFonts w:ascii="Times" w:eastAsia="Calibri" w:hAnsi="Times" w:cs="Times New Roman"/>
          <w:sz w:val="20"/>
          <w:szCs w:val="20"/>
          <w:lang w:val="en-US"/>
        </w:rPr>
        <w:t xml:space="preserve">, </w:t>
      </w:r>
      <w:r w:rsidRPr="00DA4B28">
        <w:rPr>
          <w:rFonts w:ascii="Times" w:eastAsia="Calibri" w:hAnsi="Times" w:cs="Times New Roman"/>
          <w:bCs/>
          <w:sz w:val="20"/>
          <w:szCs w:val="20"/>
          <w:lang w:val="en-US"/>
        </w:rPr>
        <w:t>pricing decisions</w:t>
      </w:r>
      <w:r w:rsidRPr="00DA4B28">
        <w:rPr>
          <w:rFonts w:ascii="Times" w:eastAsia="Calibri" w:hAnsi="Times" w:cs="Times New Roman"/>
          <w:sz w:val="20"/>
          <w:szCs w:val="20"/>
          <w:lang w:val="en-US"/>
        </w:rPr>
        <w:t xml:space="preserve">, and </w:t>
      </w:r>
      <w:r w:rsidRPr="00DA4B28">
        <w:rPr>
          <w:rFonts w:ascii="Times" w:eastAsia="Calibri" w:hAnsi="Times" w:cs="Times New Roman"/>
          <w:bCs/>
          <w:sz w:val="20"/>
          <w:szCs w:val="20"/>
          <w:lang w:val="en-US"/>
        </w:rPr>
        <w:t>establishing the profitability of different products</w:t>
      </w:r>
      <w:r w:rsidRPr="00DA4B28">
        <w:rPr>
          <w:rFonts w:ascii="Times" w:eastAsia="Calibri" w:hAnsi="Times" w:cs="Times New Roman"/>
          <w:sz w:val="20"/>
          <w:szCs w:val="20"/>
          <w:lang w:val="en-US"/>
        </w:rPr>
        <w:t>.</w:t>
      </w:r>
    </w:p>
    <w:p w:rsidR="006832D1" w:rsidRPr="00DA4B28" w:rsidRDefault="006832D1" w:rsidP="006832D1">
      <w:pPr>
        <w:pStyle w:val="ListParagraph"/>
        <w:numPr>
          <w:ilvl w:val="0"/>
          <w:numId w:val="1"/>
        </w:numPr>
        <w:spacing w:after="160" w:line="360" w:lineRule="auto"/>
        <w:rPr>
          <w:rFonts w:ascii="Times" w:hAnsi="Times" w:cs="Times New Roman"/>
          <w:color w:val="000000" w:themeColor="text1"/>
          <w:sz w:val="20"/>
          <w:szCs w:val="20"/>
          <w:lang w:val="en-US"/>
        </w:rPr>
      </w:pPr>
      <w:r w:rsidRPr="00DA4B28">
        <w:rPr>
          <w:rFonts w:ascii="Times" w:hAnsi="Times" w:cs="Times New Roman"/>
          <w:sz w:val="20"/>
          <w:szCs w:val="20"/>
        </w:rPr>
        <w:t>Describe the steps in preparing flexible budgets</w:t>
      </w:r>
    </w:p>
    <w:p w:rsidR="006832D1" w:rsidRPr="00DA4B28" w:rsidRDefault="006832D1" w:rsidP="006832D1">
      <w:pPr>
        <w:pStyle w:val="ListParagraph"/>
        <w:numPr>
          <w:ilvl w:val="0"/>
          <w:numId w:val="1"/>
        </w:numPr>
        <w:spacing w:after="160" w:line="259" w:lineRule="auto"/>
        <w:rPr>
          <w:rFonts w:ascii="Times" w:hAnsi="Times" w:cs="Times New Roman"/>
          <w:sz w:val="20"/>
          <w:szCs w:val="20"/>
        </w:rPr>
      </w:pPr>
      <w:r w:rsidRPr="00DA4B28">
        <w:rPr>
          <w:rFonts w:ascii="Times" w:hAnsi="Times" w:cs="Times New Roman"/>
          <w:sz w:val="20"/>
          <w:szCs w:val="20"/>
          <w:lang w:val="en-US"/>
        </w:rPr>
        <w:t>Provide differences for liquidity, profitability and solvency type of the ratios</w:t>
      </w:r>
    </w:p>
    <w:p w:rsidR="006832D1" w:rsidRPr="00DA4B28" w:rsidRDefault="006832D1" w:rsidP="006832D1">
      <w:pPr>
        <w:pStyle w:val="ListParagraph"/>
        <w:numPr>
          <w:ilvl w:val="0"/>
          <w:numId w:val="1"/>
        </w:numPr>
        <w:spacing w:after="160" w:line="259" w:lineRule="auto"/>
        <w:rPr>
          <w:rFonts w:ascii="Times" w:hAnsi="Times" w:cs="Times New Roman"/>
          <w:sz w:val="20"/>
          <w:szCs w:val="20"/>
        </w:rPr>
      </w:pPr>
      <w:r w:rsidRPr="00DA4B28">
        <w:rPr>
          <w:rFonts w:ascii="Times" w:hAnsi="Times" w:cs="Times New Roman"/>
          <w:sz w:val="20"/>
          <w:szCs w:val="20"/>
        </w:rPr>
        <w:t>Describe approaches to budgeting: incremental budgeting, zero-based budgeting, rolling budgeting and participative budgeting</w:t>
      </w:r>
    </w:p>
    <w:p w:rsidR="006832D1" w:rsidRPr="00DA4B28" w:rsidRDefault="006832D1" w:rsidP="006832D1">
      <w:pPr>
        <w:numPr>
          <w:ilvl w:val="0"/>
          <w:numId w:val="1"/>
        </w:numPr>
        <w:spacing w:after="200" w:line="276" w:lineRule="auto"/>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 xml:space="preserve">What is the key definition of Marginal Costing? How fixed costs and variable costs behave when Marginal Costing is implemented? What happens to profit when total contribution (a) is less than fixed cost; (b) equals fixed cost; (c) exceeds fixed costs? </w:t>
      </w:r>
    </w:p>
    <w:p w:rsidR="006832D1" w:rsidRPr="00DA4B28" w:rsidRDefault="006832D1" w:rsidP="006832D1">
      <w:pPr>
        <w:numPr>
          <w:ilvl w:val="0"/>
          <w:numId w:val="1"/>
        </w:numPr>
        <w:spacing w:after="200" w:line="276" w:lineRule="auto"/>
        <w:contextualSpacing/>
        <w:rPr>
          <w:rFonts w:ascii="Times" w:eastAsia="Calibri" w:hAnsi="Times" w:cs="Times New Roman"/>
          <w:color w:val="000000"/>
          <w:sz w:val="20"/>
          <w:szCs w:val="20"/>
          <w:lang w:val="en-US"/>
        </w:rPr>
      </w:pPr>
      <w:r w:rsidRPr="00DA4B28">
        <w:rPr>
          <w:rFonts w:ascii="Times" w:hAnsi="Times" w:cs="Times New Roman"/>
          <w:sz w:val="20"/>
          <w:szCs w:val="20"/>
          <w:lang w:val="en-US"/>
        </w:rPr>
        <w:t>Describe four positions that can be derived from cash budgets and describe the appropriate management actions for each of the positions?</w:t>
      </w:r>
    </w:p>
    <w:p w:rsidR="006832D1" w:rsidRPr="00DA4B28" w:rsidRDefault="006832D1" w:rsidP="006832D1">
      <w:pPr>
        <w:pStyle w:val="ListParagraph"/>
        <w:numPr>
          <w:ilvl w:val="0"/>
          <w:numId w:val="1"/>
        </w:numPr>
        <w:rPr>
          <w:rFonts w:ascii="Times" w:hAnsi="Times" w:cs="Times New Roman"/>
          <w:color w:val="000000" w:themeColor="text1"/>
          <w:sz w:val="20"/>
          <w:szCs w:val="20"/>
          <w:lang w:val="en-US"/>
        </w:rPr>
      </w:pPr>
      <w:r w:rsidRPr="00DA4B28">
        <w:rPr>
          <w:rFonts w:ascii="Times" w:hAnsi="Times" w:cs="Times New Roman"/>
          <w:color w:val="000000" w:themeColor="text1"/>
          <w:sz w:val="20"/>
          <w:szCs w:val="20"/>
          <w:lang w:val="en-US"/>
        </w:rPr>
        <w:t>Classification by function involves classifying costs as production/manufacturing costs, administration costs or marketing/selling costs, distribution costs, research costs and financing costs. Describe each functional cost and provide minimum two examples per each</w:t>
      </w:r>
    </w:p>
    <w:p w:rsidR="006832D1" w:rsidRPr="00DA4B28" w:rsidRDefault="006832D1" w:rsidP="006832D1">
      <w:pPr>
        <w:pStyle w:val="ListParagraph"/>
        <w:numPr>
          <w:ilvl w:val="0"/>
          <w:numId w:val="1"/>
        </w:numPr>
        <w:rPr>
          <w:rFonts w:ascii="Times" w:hAnsi="Times"/>
          <w:sz w:val="20"/>
          <w:szCs w:val="20"/>
          <w:lang w:val="en-US"/>
        </w:rPr>
      </w:pPr>
      <w:r w:rsidRPr="00DA4B28">
        <w:rPr>
          <w:rFonts w:ascii="Times" w:hAnsi="Times" w:cs="Times New Roman"/>
          <w:color w:val="000000" w:themeColor="text1"/>
          <w:sz w:val="20"/>
          <w:szCs w:val="20"/>
          <w:lang w:val="en-US"/>
        </w:rPr>
        <w:t>Describe absorption cost model and key challenges of using it in today’s environment</w:t>
      </w:r>
    </w:p>
    <w:p w:rsidR="000A55B9" w:rsidRPr="00DA4B28" w:rsidRDefault="006832D1" w:rsidP="006832D1">
      <w:pPr>
        <w:pStyle w:val="ListParagraph"/>
        <w:numPr>
          <w:ilvl w:val="0"/>
          <w:numId w:val="1"/>
        </w:numPr>
        <w:rPr>
          <w:rFonts w:ascii="Times" w:hAnsi="Times"/>
          <w:sz w:val="20"/>
          <w:szCs w:val="20"/>
          <w:lang w:val="en-US"/>
        </w:rPr>
      </w:pPr>
      <w:r w:rsidRPr="00DA4B28">
        <w:rPr>
          <w:rFonts w:ascii="Times" w:eastAsia="Calibri" w:hAnsi="Times" w:cs="Times New Roman"/>
          <w:color w:val="000000"/>
          <w:sz w:val="20"/>
          <w:szCs w:val="20"/>
          <w:lang w:val="en-US"/>
        </w:rPr>
        <w:t>Describe cost allocation methodology process and describe high-level each step of the methodology</w:t>
      </w:r>
    </w:p>
    <w:p w:rsidR="006832D1" w:rsidRPr="00DA4B28" w:rsidRDefault="006832D1" w:rsidP="006832D1">
      <w:pPr>
        <w:pStyle w:val="ListParagraph"/>
        <w:numPr>
          <w:ilvl w:val="0"/>
          <w:numId w:val="1"/>
        </w:numP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Describe the order for budgeting process</w:t>
      </w:r>
    </w:p>
    <w:p w:rsidR="006832D1" w:rsidRPr="00DA4B28" w:rsidRDefault="006832D1" w:rsidP="006832D1">
      <w:pPr>
        <w:pStyle w:val="ListParagraph"/>
        <w:numPr>
          <w:ilvl w:val="0"/>
          <w:numId w:val="1"/>
        </w:numPr>
        <w:rPr>
          <w:rFonts w:ascii="Times" w:hAnsi="Times" w:cs="Times New Roman"/>
          <w:color w:val="000000" w:themeColor="text1"/>
          <w:sz w:val="20"/>
          <w:szCs w:val="20"/>
          <w:lang w:val="en-US"/>
        </w:rPr>
      </w:pPr>
      <w:r w:rsidRPr="00DA4B28">
        <w:rPr>
          <w:rFonts w:ascii="Times" w:hAnsi="Times" w:cs="Times New Roman"/>
          <w:sz w:val="20"/>
          <w:szCs w:val="20"/>
          <w:lang w:val="en-US"/>
        </w:rPr>
        <w:t>Provide the formula and describe what usually the following ratios measure: days in inventory, Asset Turnover, Return on Common Stockholders’ Equity, Price-Earnings Ratio</w:t>
      </w:r>
    </w:p>
    <w:p w:rsidR="006832D1" w:rsidRPr="00DA4B28" w:rsidRDefault="006832D1" w:rsidP="006832D1">
      <w:pPr>
        <w:numPr>
          <w:ilvl w:val="0"/>
          <w:numId w:val="1"/>
        </w:numPr>
        <w:spacing w:after="200" w:line="276" w:lineRule="auto"/>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Advantages and disadvantages of LIFO method</w:t>
      </w:r>
    </w:p>
    <w:p w:rsidR="006832D1" w:rsidRPr="00DA4B28" w:rsidRDefault="006832D1" w:rsidP="006832D1">
      <w:pPr>
        <w:pStyle w:val="ListParagraph"/>
        <w:numPr>
          <w:ilvl w:val="0"/>
          <w:numId w:val="1"/>
        </w:numPr>
        <w:spacing w:after="160" w:line="259" w:lineRule="auto"/>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Advantages and disadvantages of FIFO method</w:t>
      </w:r>
    </w:p>
    <w:p w:rsidR="006D49AA" w:rsidRPr="00DA4B28" w:rsidRDefault="006D49AA" w:rsidP="006D49AA">
      <w:pPr>
        <w:pStyle w:val="ListParagraph"/>
        <w:numPr>
          <w:ilvl w:val="0"/>
          <w:numId w:val="1"/>
        </w:numPr>
        <w:spacing w:after="160" w:line="259" w:lineRule="auto"/>
        <w:rPr>
          <w:rFonts w:ascii="Times" w:hAnsi="Times" w:cs="Times New Roman"/>
          <w:sz w:val="20"/>
          <w:szCs w:val="20"/>
        </w:rPr>
      </w:pPr>
      <w:r w:rsidRPr="00DA4B28">
        <w:rPr>
          <w:rFonts w:ascii="Times" w:hAnsi="Times" w:cs="Times New Roman"/>
          <w:sz w:val="20"/>
          <w:szCs w:val="20"/>
        </w:rPr>
        <w:t>Describe what production budget, direct materials budget and sales and administrative budget represent</w:t>
      </w:r>
    </w:p>
    <w:p w:rsidR="006D49AA" w:rsidRPr="00DA4B28" w:rsidRDefault="006D49AA" w:rsidP="006D49AA">
      <w:pPr>
        <w:pStyle w:val="ListParagraph"/>
        <w:numPr>
          <w:ilvl w:val="0"/>
          <w:numId w:val="1"/>
        </w:numPr>
        <w:spacing w:after="160" w:line="259" w:lineRule="auto"/>
        <w:rPr>
          <w:rFonts w:ascii="Times" w:hAnsi="Times" w:cs="Times New Roman"/>
          <w:sz w:val="20"/>
          <w:szCs w:val="20"/>
        </w:rPr>
      </w:pPr>
      <w:r w:rsidRPr="00DA4B28">
        <w:rPr>
          <w:rFonts w:ascii="Times" w:eastAsia="Calibri" w:hAnsi="Times" w:cs="Times New Roman"/>
          <w:color w:val="000000"/>
          <w:sz w:val="20"/>
          <w:szCs w:val="20"/>
          <w:lang w:val="en-US"/>
        </w:rPr>
        <w:t>Advantages and disadvantages of Weighted Average Pricing method</w:t>
      </w:r>
    </w:p>
    <w:p w:rsidR="006832D1" w:rsidRPr="00DA4B28" w:rsidRDefault="006D49AA" w:rsidP="006832D1">
      <w:pPr>
        <w:pStyle w:val="ListParagraph"/>
        <w:numPr>
          <w:ilvl w:val="0"/>
          <w:numId w:val="1"/>
        </w:numPr>
        <w:rPr>
          <w:rFonts w:ascii="Times" w:hAnsi="Times"/>
          <w:sz w:val="20"/>
          <w:szCs w:val="20"/>
          <w:lang w:val="en-US"/>
        </w:rPr>
      </w:pPr>
      <w:r w:rsidRPr="00DA4B28">
        <w:rPr>
          <w:rFonts w:ascii="Times" w:hAnsi="Times" w:cs="Times New Roman"/>
          <w:sz w:val="20"/>
          <w:szCs w:val="20"/>
        </w:rPr>
        <w:t>Describe how budgets are formulated for Service-type and NGO-type of the companies</w:t>
      </w:r>
    </w:p>
    <w:p w:rsidR="006D49AA" w:rsidRPr="00DA4B28" w:rsidRDefault="006D49AA" w:rsidP="006D49AA">
      <w:pPr>
        <w:numPr>
          <w:ilvl w:val="0"/>
          <w:numId w:val="1"/>
        </w:numPr>
        <w:spacing w:after="200" w:line="360" w:lineRule="auto"/>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Calculate Stock Value and Profit generated at October, 10 under LIFO and FIFO methods</w:t>
      </w:r>
    </w:p>
    <w:p w:rsidR="006D49AA" w:rsidRPr="00DA4B28" w:rsidRDefault="006D49AA" w:rsidP="006D49AA">
      <w:pPr>
        <w:spacing w:line="360" w:lineRule="auto"/>
        <w:ind w:left="720"/>
        <w:contextualSpacing/>
        <w:rPr>
          <w:rFonts w:ascii="Times" w:eastAsia="Calibri" w:hAnsi="Times" w:cs="Times New Roman"/>
          <w:color w:val="000000"/>
          <w:sz w:val="20"/>
          <w:szCs w:val="20"/>
          <w:lang w:val="en-US"/>
        </w:rPr>
      </w:pPr>
      <w:r w:rsidRPr="00DA4B28">
        <w:rPr>
          <w:rFonts w:ascii="Times" w:eastAsia="Calibri" w:hAnsi="Times" w:cs="Times New Roman"/>
          <w:i/>
          <w:iCs/>
          <w:color w:val="000000"/>
          <w:sz w:val="20"/>
          <w:szCs w:val="20"/>
          <w:lang w:val="en-US"/>
        </w:rPr>
        <w:t xml:space="preserve">Units                            Date received </w:t>
      </w:r>
      <w:r w:rsidRPr="00DA4B28">
        <w:rPr>
          <w:rFonts w:ascii="Times" w:eastAsia="Calibri" w:hAnsi="Times" w:cs="Times New Roman"/>
          <w:i/>
          <w:iCs/>
          <w:color w:val="000000"/>
          <w:sz w:val="20"/>
          <w:szCs w:val="20"/>
          <w:lang w:val="en-US"/>
        </w:rPr>
        <w:tab/>
        <w:t xml:space="preserve"> Purchase cost</w:t>
      </w:r>
    </w:p>
    <w:p w:rsidR="006D49AA" w:rsidRPr="00DA4B28" w:rsidRDefault="006D49AA" w:rsidP="006D49AA">
      <w:pPr>
        <w:spacing w:line="360" w:lineRule="auto"/>
        <w:ind w:left="720"/>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 xml:space="preserve">A                                   June, 5               </w:t>
      </w:r>
      <w:r w:rsidRPr="00DA4B28">
        <w:rPr>
          <w:rFonts w:ascii="Times" w:eastAsia="Calibri" w:hAnsi="Times" w:cs="Times New Roman"/>
          <w:color w:val="000000"/>
          <w:sz w:val="20"/>
          <w:szCs w:val="20"/>
          <w:lang w:val="en-US"/>
        </w:rPr>
        <w:tab/>
        <w:t xml:space="preserve"> </w:t>
      </w:r>
    </w:p>
    <w:p w:rsidR="006D49AA" w:rsidRPr="00DA4B28" w:rsidRDefault="006D49AA" w:rsidP="006D49AA">
      <w:pPr>
        <w:spacing w:line="360" w:lineRule="auto"/>
        <w:ind w:left="720"/>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 xml:space="preserve">Sales I           </w:t>
      </w:r>
      <w:r w:rsidR="00FD4D09">
        <w:rPr>
          <w:rFonts w:ascii="Times" w:eastAsia="Calibri" w:hAnsi="Times" w:cs="Times New Roman"/>
          <w:color w:val="000000"/>
          <w:sz w:val="20"/>
          <w:szCs w:val="20"/>
          <w:lang w:val="en-US"/>
        </w:rPr>
        <w:t xml:space="preserve">                July, 10</w:t>
      </w:r>
      <w:r w:rsidR="00FD4D09">
        <w:rPr>
          <w:rFonts w:ascii="Times" w:eastAsia="Calibri" w:hAnsi="Times" w:cs="Times New Roman"/>
          <w:color w:val="000000"/>
          <w:sz w:val="20"/>
          <w:szCs w:val="20"/>
          <w:lang w:val="en-US"/>
        </w:rPr>
        <w:tab/>
      </w:r>
      <w:r w:rsidR="00FD4D09">
        <w:rPr>
          <w:rFonts w:ascii="Times" w:eastAsia="Calibri" w:hAnsi="Times" w:cs="Times New Roman"/>
          <w:color w:val="000000"/>
          <w:sz w:val="20"/>
          <w:szCs w:val="20"/>
          <w:lang w:val="en-US"/>
        </w:rPr>
        <w:tab/>
        <w:t xml:space="preserve"> </w:t>
      </w:r>
      <w:r w:rsidRPr="00DA4B28">
        <w:rPr>
          <w:rFonts w:ascii="Times" w:eastAsia="Calibri" w:hAnsi="Times" w:cs="Times New Roman"/>
          <w:color w:val="000000"/>
          <w:sz w:val="20"/>
          <w:szCs w:val="20"/>
          <w:lang w:val="en-US"/>
        </w:rPr>
        <w:t xml:space="preserve"> </w:t>
      </w:r>
    </w:p>
    <w:p w:rsidR="006D49AA" w:rsidRPr="00DA4B28" w:rsidRDefault="006D49AA" w:rsidP="006D49AA">
      <w:pPr>
        <w:spacing w:line="360" w:lineRule="auto"/>
        <w:ind w:left="720"/>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 xml:space="preserve">B                                   August, 17          </w:t>
      </w:r>
      <w:r w:rsidRPr="00DA4B28">
        <w:rPr>
          <w:rFonts w:ascii="Times" w:eastAsia="Calibri" w:hAnsi="Times" w:cs="Times New Roman"/>
          <w:color w:val="000000"/>
          <w:sz w:val="20"/>
          <w:szCs w:val="20"/>
          <w:lang w:val="en-US"/>
        </w:rPr>
        <w:tab/>
        <w:t xml:space="preserve"> </w:t>
      </w:r>
    </w:p>
    <w:p w:rsidR="006D49AA" w:rsidRPr="00DA4B28" w:rsidRDefault="006D49AA" w:rsidP="006D49AA">
      <w:pPr>
        <w:spacing w:line="360" w:lineRule="auto"/>
        <w:ind w:left="720"/>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C                                   September, 5</w:t>
      </w:r>
      <w:r w:rsidRPr="00DA4B28">
        <w:rPr>
          <w:rFonts w:ascii="Times" w:eastAsia="Calibri" w:hAnsi="Times" w:cs="Times New Roman"/>
          <w:color w:val="000000"/>
          <w:sz w:val="20"/>
          <w:szCs w:val="20"/>
          <w:lang w:val="en-US"/>
        </w:rPr>
        <w:tab/>
        <w:t xml:space="preserve"> </w:t>
      </w:r>
    </w:p>
    <w:p w:rsidR="006D49AA" w:rsidRPr="00DA4B28" w:rsidRDefault="006D49AA" w:rsidP="006D49AA">
      <w:pPr>
        <w:spacing w:line="360" w:lineRule="auto"/>
        <w:ind w:left="720"/>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Sales II                          October, 10</w:t>
      </w:r>
      <w:r w:rsidRPr="00DA4B28">
        <w:rPr>
          <w:rFonts w:ascii="Times" w:eastAsia="Calibri" w:hAnsi="Times" w:cs="Times New Roman"/>
          <w:color w:val="000000"/>
          <w:sz w:val="20"/>
          <w:szCs w:val="20"/>
          <w:lang w:val="en-US"/>
        </w:rPr>
        <w:tab/>
        <w:t xml:space="preserve"> </w:t>
      </w:r>
    </w:p>
    <w:p w:rsidR="006D49AA" w:rsidRPr="00DA4B28" w:rsidRDefault="006D49AA" w:rsidP="006D49AA">
      <w:pPr>
        <w:pStyle w:val="ListParagraph"/>
        <w:numPr>
          <w:ilvl w:val="0"/>
          <w:numId w:val="1"/>
        </w:numPr>
        <w:spacing w:line="360" w:lineRule="auto"/>
        <w:rPr>
          <w:rFonts w:ascii="Times" w:hAnsi="Times" w:cs="Times New Roman"/>
          <w:color w:val="000000" w:themeColor="text1"/>
          <w:sz w:val="20"/>
          <w:szCs w:val="20"/>
          <w:lang w:val="en-US"/>
        </w:rPr>
      </w:pPr>
      <w:r w:rsidRPr="00DA4B28">
        <w:rPr>
          <w:rFonts w:ascii="Times" w:hAnsi="Times" w:cs="Times New Roman"/>
          <w:color w:val="000000" w:themeColor="text1"/>
          <w:sz w:val="20"/>
          <w:szCs w:val="20"/>
          <w:lang w:val="en-US"/>
        </w:rPr>
        <w:t>Calculate the Gross Profit Mar</w:t>
      </w:r>
      <w:r w:rsidR="00FD4D09">
        <w:rPr>
          <w:rFonts w:ascii="Times" w:hAnsi="Times" w:cs="Times New Roman"/>
          <w:color w:val="000000" w:themeColor="text1"/>
          <w:sz w:val="20"/>
          <w:szCs w:val="20"/>
          <w:lang w:val="en-US"/>
        </w:rPr>
        <w:t xml:space="preserve">gin, if  units produced, </w:t>
      </w:r>
      <w:r w:rsidRPr="00DA4B28">
        <w:rPr>
          <w:rFonts w:ascii="Times" w:hAnsi="Times" w:cs="Times New Roman"/>
          <w:color w:val="000000" w:themeColor="text1"/>
          <w:sz w:val="20"/>
          <w:szCs w:val="20"/>
          <w:lang w:val="en-US"/>
        </w:rPr>
        <w:t xml:space="preserve"> units sold and price per unit is USD</w:t>
      </w:r>
    </w:p>
    <w:tbl>
      <w:tblPr>
        <w:tblW w:w="9252" w:type="dxa"/>
        <w:tblCellMar>
          <w:left w:w="0" w:type="dxa"/>
          <w:right w:w="0" w:type="dxa"/>
        </w:tblCellMar>
        <w:tblLook w:val="0420" w:firstRow="1" w:lastRow="0" w:firstColumn="0" w:lastColumn="0" w:noHBand="0" w:noVBand="1"/>
      </w:tblPr>
      <w:tblGrid>
        <w:gridCol w:w="5224"/>
        <w:gridCol w:w="4028"/>
      </w:tblGrid>
      <w:tr w:rsidR="006D49AA" w:rsidRPr="00DA4B28" w:rsidTr="005D31D1">
        <w:trPr>
          <w:trHeight w:val="103"/>
        </w:trPr>
        <w:tc>
          <w:tcPr>
            <w:tcW w:w="5224" w:type="dxa"/>
            <w:tcBorders>
              <w:top w:val="nil"/>
              <w:left w:val="nil"/>
              <w:bottom w:val="nil"/>
              <w:right w:val="nil"/>
            </w:tcBorders>
            <w:shd w:val="clear" w:color="auto" w:fill="auto"/>
            <w:tcMar>
              <w:top w:w="72" w:type="dxa"/>
              <w:left w:w="144" w:type="dxa"/>
              <w:bottom w:w="72" w:type="dxa"/>
              <w:right w:w="144" w:type="dxa"/>
            </w:tcMar>
            <w:hideMark/>
          </w:tcPr>
          <w:p w:rsidR="006D49AA" w:rsidRPr="00DA4B28" w:rsidRDefault="006D49AA" w:rsidP="005D31D1">
            <w:pPr>
              <w:jc w:val="right"/>
              <w:rPr>
                <w:rFonts w:ascii="Times" w:eastAsia="Times New Roman" w:hAnsi="Times" w:cs="Times New Roman"/>
                <w:sz w:val="20"/>
                <w:szCs w:val="20"/>
                <w:lang w:val="en-US"/>
              </w:rPr>
            </w:pPr>
            <w:r w:rsidRPr="00DA4B28">
              <w:rPr>
                <w:rFonts w:ascii="Times" w:eastAsia="Times New Roman" w:hAnsi="Times" w:cs="Times New Roman"/>
                <w:color w:val="000000"/>
                <w:kern w:val="24"/>
                <w:sz w:val="20"/>
                <w:szCs w:val="20"/>
                <w:lang w:val="en-US"/>
              </w:rPr>
              <w:t>Materials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6D49AA" w:rsidRPr="00DA4B28" w:rsidRDefault="006D49AA" w:rsidP="005D31D1">
            <w:pPr>
              <w:rPr>
                <w:rFonts w:ascii="Times" w:eastAsia="Times New Roman" w:hAnsi="Times" w:cs="Times New Roman"/>
                <w:sz w:val="20"/>
                <w:szCs w:val="20"/>
                <w:lang w:val="en-US"/>
              </w:rPr>
            </w:pPr>
          </w:p>
        </w:tc>
      </w:tr>
      <w:tr w:rsidR="006D49AA" w:rsidRPr="00DA4B28" w:rsidTr="005D31D1">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6D49AA" w:rsidRPr="00DA4B28" w:rsidRDefault="006D49AA" w:rsidP="005D31D1">
            <w:pPr>
              <w:jc w:val="right"/>
              <w:rPr>
                <w:rFonts w:ascii="Times" w:eastAsia="Times New Roman" w:hAnsi="Times" w:cs="Times New Roman"/>
                <w:sz w:val="20"/>
                <w:szCs w:val="20"/>
                <w:lang w:val="en-US"/>
              </w:rPr>
            </w:pPr>
            <w:r w:rsidRPr="00DA4B28">
              <w:rPr>
                <w:rFonts w:ascii="Times" w:eastAsia="Times New Roman" w:hAnsi="Times" w:cs="Times New Roman"/>
                <w:color w:val="000000"/>
                <w:kern w:val="24"/>
                <w:sz w:val="20"/>
                <w:szCs w:val="20"/>
                <w:lang w:val="en-US"/>
              </w:rPr>
              <w:t>Production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6D49AA" w:rsidRPr="00DA4B28" w:rsidRDefault="006D49AA" w:rsidP="005D31D1">
            <w:pPr>
              <w:rPr>
                <w:rFonts w:ascii="Times" w:eastAsia="Times New Roman" w:hAnsi="Times" w:cs="Times New Roman"/>
                <w:sz w:val="20"/>
                <w:szCs w:val="20"/>
                <w:lang w:val="en-US"/>
              </w:rPr>
            </w:pPr>
          </w:p>
        </w:tc>
      </w:tr>
      <w:tr w:rsidR="006D49AA" w:rsidRPr="00DA4B28" w:rsidTr="005D31D1">
        <w:trPr>
          <w:trHeight w:val="111"/>
        </w:trPr>
        <w:tc>
          <w:tcPr>
            <w:tcW w:w="5224" w:type="dxa"/>
            <w:tcBorders>
              <w:top w:val="nil"/>
              <w:left w:val="nil"/>
              <w:bottom w:val="nil"/>
              <w:right w:val="nil"/>
            </w:tcBorders>
            <w:shd w:val="clear" w:color="auto" w:fill="auto"/>
            <w:tcMar>
              <w:top w:w="72" w:type="dxa"/>
              <w:left w:w="144" w:type="dxa"/>
              <w:bottom w:w="72" w:type="dxa"/>
              <w:right w:w="144" w:type="dxa"/>
            </w:tcMar>
            <w:hideMark/>
          </w:tcPr>
          <w:p w:rsidR="006D49AA" w:rsidRPr="00DA4B28" w:rsidRDefault="006D49AA" w:rsidP="005D31D1">
            <w:pPr>
              <w:jc w:val="right"/>
              <w:rPr>
                <w:rFonts w:ascii="Times" w:eastAsia="Times New Roman" w:hAnsi="Times" w:cs="Times New Roman"/>
                <w:color w:val="000000"/>
                <w:kern w:val="24"/>
                <w:sz w:val="20"/>
                <w:szCs w:val="20"/>
                <w:lang w:val="en-US"/>
              </w:rPr>
            </w:pPr>
            <w:r w:rsidRPr="00DA4B28">
              <w:rPr>
                <w:rFonts w:ascii="Times" w:eastAsia="Times New Roman" w:hAnsi="Times" w:cs="Times New Roman"/>
                <w:color w:val="000000"/>
                <w:kern w:val="24"/>
                <w:sz w:val="20"/>
                <w:szCs w:val="20"/>
                <w:lang w:val="en-US"/>
              </w:rPr>
              <w:t>Administrative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6D49AA" w:rsidRPr="00DA4B28" w:rsidRDefault="006D49AA" w:rsidP="005D31D1">
            <w:pPr>
              <w:rPr>
                <w:rFonts w:ascii="Times" w:eastAsia="Times New Roman" w:hAnsi="Times" w:cs="Times New Roman"/>
                <w:color w:val="000000"/>
                <w:kern w:val="24"/>
                <w:sz w:val="20"/>
                <w:szCs w:val="20"/>
                <w:lang w:val="en-US"/>
              </w:rPr>
            </w:pPr>
          </w:p>
        </w:tc>
      </w:tr>
      <w:tr w:rsidR="006D49AA" w:rsidRPr="00DA4B28" w:rsidTr="005D31D1">
        <w:trPr>
          <w:trHeight w:val="111"/>
        </w:trPr>
        <w:tc>
          <w:tcPr>
            <w:tcW w:w="5224" w:type="dxa"/>
            <w:tcBorders>
              <w:top w:val="nil"/>
              <w:left w:val="nil"/>
              <w:bottom w:val="nil"/>
              <w:right w:val="nil"/>
            </w:tcBorders>
            <w:shd w:val="clear" w:color="auto" w:fill="auto"/>
            <w:tcMar>
              <w:top w:w="72" w:type="dxa"/>
              <w:left w:w="144" w:type="dxa"/>
              <w:bottom w:w="72" w:type="dxa"/>
              <w:right w:w="144" w:type="dxa"/>
            </w:tcMar>
          </w:tcPr>
          <w:p w:rsidR="006D49AA" w:rsidRPr="00DA4B28" w:rsidRDefault="006D49AA" w:rsidP="005D31D1">
            <w:pPr>
              <w:jc w:val="right"/>
              <w:rPr>
                <w:rFonts w:ascii="Times" w:eastAsia="Times New Roman" w:hAnsi="Times" w:cs="Times New Roman"/>
                <w:color w:val="000000"/>
                <w:kern w:val="24"/>
                <w:sz w:val="20"/>
                <w:szCs w:val="20"/>
                <w:lang w:val="en-US"/>
              </w:rPr>
            </w:pPr>
            <w:r w:rsidRPr="00DA4B28">
              <w:rPr>
                <w:rFonts w:ascii="Times" w:eastAsia="Times New Roman" w:hAnsi="Times" w:cs="Times New Roman"/>
                <w:color w:val="000000"/>
                <w:kern w:val="24"/>
                <w:sz w:val="20"/>
                <w:szCs w:val="20"/>
                <w:lang w:val="en-US"/>
              </w:rPr>
              <w:t>Sales and Administrative expenses</w:t>
            </w:r>
          </w:p>
        </w:tc>
        <w:tc>
          <w:tcPr>
            <w:tcW w:w="4028" w:type="dxa"/>
            <w:tcBorders>
              <w:top w:val="nil"/>
              <w:left w:val="nil"/>
              <w:bottom w:val="nil"/>
              <w:right w:val="nil"/>
            </w:tcBorders>
            <w:shd w:val="clear" w:color="auto" w:fill="auto"/>
            <w:tcMar>
              <w:top w:w="72" w:type="dxa"/>
              <w:left w:w="144" w:type="dxa"/>
              <w:bottom w:w="72" w:type="dxa"/>
              <w:right w:w="144" w:type="dxa"/>
            </w:tcMar>
          </w:tcPr>
          <w:p w:rsidR="006D49AA" w:rsidRPr="00DA4B28" w:rsidRDefault="006D49AA" w:rsidP="005D31D1">
            <w:pPr>
              <w:rPr>
                <w:rFonts w:ascii="Times" w:eastAsia="Times New Roman" w:hAnsi="Times" w:cs="Times New Roman"/>
                <w:color w:val="000000"/>
                <w:kern w:val="24"/>
                <w:sz w:val="20"/>
                <w:szCs w:val="20"/>
                <w:lang w:val="en-US"/>
              </w:rPr>
            </w:pPr>
          </w:p>
        </w:tc>
      </w:tr>
      <w:tr w:rsidR="006D49AA" w:rsidRPr="00DA4B28" w:rsidTr="005D31D1">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6D49AA" w:rsidRPr="00DA4B28" w:rsidRDefault="006D49AA" w:rsidP="005D31D1">
            <w:pPr>
              <w:jc w:val="right"/>
              <w:rPr>
                <w:rFonts w:ascii="Times" w:eastAsia="Times New Roman" w:hAnsi="Times" w:cs="Times New Roman"/>
                <w:color w:val="000000"/>
                <w:kern w:val="24"/>
                <w:sz w:val="20"/>
                <w:szCs w:val="20"/>
                <w:lang w:val="en-US"/>
              </w:rPr>
            </w:pPr>
            <w:proofErr w:type="spellStart"/>
            <w:r w:rsidRPr="00DA4B28">
              <w:rPr>
                <w:rFonts w:ascii="Times" w:eastAsia="Times New Roman" w:hAnsi="Times" w:cs="Times New Roman"/>
                <w:color w:val="000000"/>
                <w:kern w:val="24"/>
                <w:sz w:val="20"/>
                <w:szCs w:val="20"/>
                <w:lang w:val="en-US"/>
              </w:rPr>
              <w:t>Labour</w:t>
            </w:r>
            <w:proofErr w:type="spellEnd"/>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6D49AA" w:rsidRPr="00DA4B28" w:rsidRDefault="006D49AA" w:rsidP="005D31D1">
            <w:pPr>
              <w:rPr>
                <w:rFonts w:ascii="Times" w:eastAsia="Times New Roman" w:hAnsi="Times" w:cs="Times New Roman"/>
                <w:color w:val="000000"/>
                <w:kern w:val="24"/>
                <w:sz w:val="20"/>
                <w:szCs w:val="20"/>
                <w:lang w:val="en-US"/>
              </w:rPr>
            </w:pPr>
          </w:p>
        </w:tc>
      </w:tr>
      <w:tr w:rsidR="006D49AA" w:rsidRPr="00DA4B28" w:rsidTr="005D31D1">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6D49AA" w:rsidRPr="00DA4B28" w:rsidRDefault="006D49AA" w:rsidP="005D31D1">
            <w:pPr>
              <w:jc w:val="right"/>
              <w:rPr>
                <w:rFonts w:ascii="Times" w:eastAsia="Times New Roman" w:hAnsi="Times" w:cs="Times New Roman"/>
                <w:color w:val="000000"/>
                <w:kern w:val="24"/>
                <w:sz w:val="20"/>
                <w:szCs w:val="20"/>
                <w:lang w:val="en-US"/>
              </w:rPr>
            </w:pPr>
            <w:r w:rsidRPr="00DA4B28">
              <w:rPr>
                <w:rFonts w:ascii="Times" w:eastAsia="Times New Roman" w:hAnsi="Times" w:cs="Times New Roman"/>
                <w:color w:val="000000"/>
                <w:kern w:val="24"/>
                <w:sz w:val="20"/>
                <w:szCs w:val="20"/>
                <w:lang w:val="en-US"/>
              </w:rPr>
              <w:t>Other Indirect expenses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6D49AA" w:rsidRPr="00DA4B28" w:rsidRDefault="006D49AA" w:rsidP="005D31D1">
            <w:pPr>
              <w:rPr>
                <w:rFonts w:ascii="Times" w:eastAsia="Times New Roman" w:hAnsi="Times" w:cs="Times New Roman"/>
                <w:color w:val="000000"/>
                <w:kern w:val="24"/>
                <w:sz w:val="20"/>
                <w:szCs w:val="20"/>
                <w:lang w:val="en-US"/>
              </w:rPr>
            </w:pPr>
          </w:p>
          <w:p w:rsidR="006D49AA" w:rsidRPr="00DA4B28" w:rsidRDefault="006D49AA" w:rsidP="005D31D1">
            <w:pPr>
              <w:rPr>
                <w:rFonts w:ascii="Times" w:eastAsia="Times New Roman" w:hAnsi="Times" w:cs="Times New Roman"/>
                <w:color w:val="000000"/>
                <w:kern w:val="24"/>
                <w:sz w:val="20"/>
                <w:szCs w:val="20"/>
                <w:lang w:val="en-US"/>
              </w:rPr>
            </w:pPr>
          </w:p>
          <w:p w:rsidR="006D49AA" w:rsidRPr="00DA4B28" w:rsidRDefault="006D49AA" w:rsidP="005D31D1">
            <w:pPr>
              <w:rPr>
                <w:rFonts w:ascii="Times" w:eastAsia="Times New Roman" w:hAnsi="Times" w:cs="Times New Roman"/>
                <w:color w:val="000000"/>
                <w:kern w:val="24"/>
                <w:sz w:val="20"/>
                <w:szCs w:val="20"/>
                <w:lang w:val="en-US"/>
              </w:rPr>
            </w:pPr>
          </w:p>
        </w:tc>
      </w:tr>
    </w:tbl>
    <w:p w:rsidR="00CB3BA9" w:rsidRPr="00DA4B28" w:rsidRDefault="00CB3BA9" w:rsidP="00CB3BA9">
      <w:pPr>
        <w:pStyle w:val="ListParagraph"/>
        <w:numPr>
          <w:ilvl w:val="0"/>
          <w:numId w:val="1"/>
        </w:numPr>
        <w:spacing w:line="360" w:lineRule="auto"/>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Calculate Stock Value October, 10 under LIFO and FIFO methods</w:t>
      </w:r>
    </w:p>
    <w:p w:rsidR="00CB3BA9" w:rsidRPr="00DA4B28" w:rsidRDefault="00CB3BA9" w:rsidP="00CB3BA9">
      <w:pPr>
        <w:spacing w:line="360" w:lineRule="auto"/>
        <w:ind w:left="522" w:hanging="270"/>
        <w:contextualSpacing/>
        <w:rPr>
          <w:rFonts w:ascii="Times" w:eastAsia="Calibri" w:hAnsi="Times" w:cs="Times New Roman"/>
          <w:color w:val="000000"/>
          <w:sz w:val="20"/>
          <w:szCs w:val="20"/>
          <w:lang w:val="en-US"/>
        </w:rPr>
      </w:pPr>
      <w:r w:rsidRPr="00DA4B28">
        <w:rPr>
          <w:rFonts w:ascii="Times" w:eastAsia="Calibri" w:hAnsi="Times" w:cs="Times New Roman"/>
          <w:i/>
          <w:iCs/>
          <w:color w:val="000000"/>
          <w:sz w:val="20"/>
          <w:szCs w:val="20"/>
          <w:lang w:val="en-US"/>
        </w:rPr>
        <w:lastRenderedPageBreak/>
        <w:t xml:space="preserve">Units                            Date received </w:t>
      </w:r>
      <w:r w:rsidRPr="00DA4B28">
        <w:rPr>
          <w:rFonts w:ascii="Times" w:eastAsia="Calibri" w:hAnsi="Times" w:cs="Times New Roman"/>
          <w:i/>
          <w:iCs/>
          <w:color w:val="000000"/>
          <w:sz w:val="20"/>
          <w:szCs w:val="20"/>
          <w:lang w:val="en-US"/>
        </w:rPr>
        <w:tab/>
        <w:t xml:space="preserve"> Purchase cost</w:t>
      </w:r>
    </w:p>
    <w:p w:rsidR="00CB3BA9" w:rsidRPr="00DA4B28" w:rsidRDefault="00CB3BA9" w:rsidP="00CB3BA9">
      <w:pPr>
        <w:spacing w:line="360" w:lineRule="auto"/>
        <w:ind w:left="522" w:hanging="270"/>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 xml:space="preserve">A                                   June, 5               </w:t>
      </w:r>
      <w:r w:rsidRPr="00DA4B28">
        <w:rPr>
          <w:rFonts w:ascii="Times" w:eastAsia="Calibri" w:hAnsi="Times" w:cs="Times New Roman"/>
          <w:color w:val="000000"/>
          <w:sz w:val="20"/>
          <w:szCs w:val="20"/>
          <w:lang w:val="en-US"/>
        </w:rPr>
        <w:tab/>
        <w:t xml:space="preserve"> </w:t>
      </w:r>
    </w:p>
    <w:p w:rsidR="00CB3BA9" w:rsidRPr="00DA4B28" w:rsidRDefault="00CB3BA9" w:rsidP="00CB3BA9">
      <w:pPr>
        <w:spacing w:line="360" w:lineRule="auto"/>
        <w:ind w:left="522" w:hanging="270"/>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Sales I                           July, 10</w:t>
      </w:r>
      <w:r w:rsidRPr="00DA4B28">
        <w:rPr>
          <w:rFonts w:ascii="Times" w:eastAsia="Calibri" w:hAnsi="Times" w:cs="Times New Roman"/>
          <w:color w:val="000000"/>
          <w:sz w:val="20"/>
          <w:szCs w:val="20"/>
          <w:lang w:val="en-US"/>
        </w:rPr>
        <w:tab/>
      </w:r>
      <w:r w:rsidRPr="00DA4B28">
        <w:rPr>
          <w:rFonts w:ascii="Times" w:eastAsia="Calibri" w:hAnsi="Times" w:cs="Times New Roman"/>
          <w:color w:val="000000"/>
          <w:sz w:val="20"/>
          <w:szCs w:val="20"/>
          <w:lang w:val="en-US"/>
        </w:rPr>
        <w:tab/>
        <w:t xml:space="preserve"> </w:t>
      </w:r>
    </w:p>
    <w:p w:rsidR="00CB3BA9" w:rsidRPr="00DA4B28" w:rsidRDefault="00CB3BA9" w:rsidP="00CB3BA9">
      <w:pPr>
        <w:spacing w:line="360" w:lineRule="auto"/>
        <w:ind w:left="522" w:hanging="270"/>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 xml:space="preserve">B                                   August, 17          </w:t>
      </w:r>
      <w:r w:rsidRPr="00DA4B28">
        <w:rPr>
          <w:rFonts w:ascii="Times" w:eastAsia="Calibri" w:hAnsi="Times" w:cs="Times New Roman"/>
          <w:color w:val="000000"/>
          <w:sz w:val="20"/>
          <w:szCs w:val="20"/>
          <w:lang w:val="en-US"/>
        </w:rPr>
        <w:tab/>
        <w:t xml:space="preserve"> </w:t>
      </w:r>
    </w:p>
    <w:p w:rsidR="00CB3BA9" w:rsidRPr="00DA4B28" w:rsidRDefault="00CB3BA9" w:rsidP="00CB3BA9">
      <w:pPr>
        <w:spacing w:line="360" w:lineRule="auto"/>
        <w:ind w:left="522" w:hanging="270"/>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C                                   September, 5</w:t>
      </w:r>
      <w:r w:rsidRPr="00DA4B28">
        <w:rPr>
          <w:rFonts w:ascii="Times" w:eastAsia="Calibri" w:hAnsi="Times" w:cs="Times New Roman"/>
          <w:color w:val="000000"/>
          <w:sz w:val="20"/>
          <w:szCs w:val="20"/>
          <w:lang w:val="en-US"/>
        </w:rPr>
        <w:tab/>
        <w:t xml:space="preserve"> </w:t>
      </w:r>
    </w:p>
    <w:p w:rsidR="00CB3BA9" w:rsidRPr="00DA4B28" w:rsidRDefault="00CB3BA9" w:rsidP="00CB3BA9">
      <w:pPr>
        <w:spacing w:line="360" w:lineRule="auto"/>
        <w:ind w:left="522" w:hanging="270"/>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Sales II                          October, 10</w:t>
      </w:r>
      <w:r w:rsidRPr="00DA4B28">
        <w:rPr>
          <w:rFonts w:ascii="Times" w:eastAsia="Calibri" w:hAnsi="Times" w:cs="Times New Roman"/>
          <w:color w:val="000000"/>
          <w:sz w:val="20"/>
          <w:szCs w:val="20"/>
          <w:lang w:val="en-US"/>
        </w:rPr>
        <w:tab/>
        <w:t xml:space="preserve"> </w:t>
      </w:r>
    </w:p>
    <w:p w:rsidR="00CB3BA9" w:rsidRPr="00DA4B28" w:rsidRDefault="00CB3BA9" w:rsidP="00CB3BA9">
      <w:pPr>
        <w:pStyle w:val="ListParagraph"/>
        <w:numPr>
          <w:ilvl w:val="0"/>
          <w:numId w:val="1"/>
        </w:numPr>
        <w:rPr>
          <w:rFonts w:ascii="Times" w:hAnsi="Times" w:cs="Times New Roman"/>
          <w:color w:val="000000" w:themeColor="text1"/>
          <w:sz w:val="20"/>
          <w:szCs w:val="20"/>
          <w:lang w:val="en-US"/>
        </w:rPr>
      </w:pPr>
      <w:r w:rsidRPr="00DA4B28">
        <w:rPr>
          <w:rFonts w:ascii="Times" w:hAnsi="Times" w:cs="Times New Roman"/>
          <w:color w:val="000000" w:themeColor="text1"/>
          <w:sz w:val="20"/>
          <w:szCs w:val="20"/>
          <w:lang w:val="en-US"/>
        </w:rPr>
        <w:t>Give example per each graph</w:t>
      </w:r>
    </w:p>
    <w:p w:rsidR="00CB3BA9" w:rsidRPr="00DA4B28" w:rsidRDefault="00CB3BA9" w:rsidP="00CB3BA9">
      <w:pPr>
        <w:pStyle w:val="ListParagraph"/>
        <w:rPr>
          <w:rFonts w:ascii="Times" w:hAnsi="Times" w:cs="Times New Roman"/>
          <w:color w:val="000000" w:themeColor="text1"/>
          <w:sz w:val="20"/>
          <w:szCs w:val="20"/>
          <w:lang w:val="en-US"/>
        </w:rPr>
      </w:pPr>
      <w:r w:rsidRPr="00DA4B28">
        <w:rPr>
          <w:rFonts w:ascii="Times" w:hAnsi="Times" w:cs="Times New Roman"/>
          <w:noProof/>
          <w:color w:val="000000" w:themeColor="text1"/>
          <w:sz w:val="20"/>
          <w:szCs w:val="20"/>
          <w:lang w:val="ru-RU" w:eastAsia="ru-RU"/>
        </w:rPr>
        <w:drawing>
          <wp:inline distT="0" distB="0" distL="0" distR="0" wp14:anchorId="554B0243" wp14:editId="39A29976">
            <wp:extent cx="4286250" cy="1465580"/>
            <wp:effectExtent l="0" t="0" r="0" b="127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6"/>
                    <a:srcRect l="35066" t="63802" r="13397" b="15625"/>
                    <a:stretch/>
                  </pic:blipFill>
                  <pic:spPr>
                    <a:xfrm>
                      <a:off x="0" y="0"/>
                      <a:ext cx="4286250" cy="1465580"/>
                    </a:xfrm>
                    <a:prstGeom prst="rect">
                      <a:avLst/>
                    </a:prstGeom>
                  </pic:spPr>
                </pic:pic>
              </a:graphicData>
            </a:graphic>
          </wp:inline>
        </w:drawing>
      </w:r>
    </w:p>
    <w:p w:rsidR="00CB3BA9" w:rsidRPr="00DA4B28" w:rsidRDefault="00CB3BA9" w:rsidP="00CB3BA9">
      <w:pPr>
        <w:pStyle w:val="ListParagraph"/>
        <w:numPr>
          <w:ilvl w:val="0"/>
          <w:numId w:val="1"/>
        </w:numP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Using 2 tables information given below, show the roadmap of allocation of costs to the projects and allocate the cost to departments, if:</w:t>
      </w:r>
    </w:p>
    <w:p w:rsidR="00CB3BA9" w:rsidRPr="00DA4B28" w:rsidRDefault="00CB3BA9" w:rsidP="00CB3BA9">
      <w:pPr>
        <w:pStyle w:val="ListParagraph"/>
        <w:numPr>
          <w:ilvl w:val="0"/>
          <w:numId w:val="14"/>
        </w:numP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Company has 3 departments: D1, D2, D3. Each department has the allocated space and related number of the employees.</w:t>
      </w:r>
    </w:p>
    <w:p w:rsidR="00CB3BA9" w:rsidRPr="00DA4B28" w:rsidRDefault="00CB3BA9" w:rsidP="00CB3BA9">
      <w:pPr>
        <w:pStyle w:val="ListParagraph"/>
        <w:numPr>
          <w:ilvl w:val="0"/>
          <w:numId w:val="14"/>
        </w:numP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Apart from the direct costs allocated to the department, the company has a pool of shared costs that has to be allocated to related departments and then the department should add it its own budget.</w:t>
      </w:r>
    </w:p>
    <w:p w:rsidR="00CB3BA9" w:rsidRPr="00DA4B28" w:rsidRDefault="00CB3BA9" w:rsidP="00CB3BA9">
      <w:pPr>
        <w:ind w:left="720"/>
        <w:contextualSpacing/>
        <w:rPr>
          <w:rFonts w:ascii="Times" w:eastAsia="Calibri" w:hAnsi="Times" w:cs="Times New Roman"/>
          <w:color w:val="000000"/>
          <w:sz w:val="20"/>
          <w:szCs w:val="20"/>
          <w:lang w:val="en-US"/>
        </w:rPr>
      </w:pPr>
    </w:p>
    <w:tbl>
      <w:tblPr>
        <w:tblStyle w:val="TableGrid"/>
        <w:tblW w:w="0" w:type="auto"/>
        <w:tblInd w:w="720" w:type="dxa"/>
        <w:tblLook w:val="04A0" w:firstRow="1" w:lastRow="0" w:firstColumn="1" w:lastColumn="0" w:noHBand="0" w:noVBand="1"/>
      </w:tblPr>
      <w:tblGrid>
        <w:gridCol w:w="895"/>
        <w:gridCol w:w="4050"/>
        <w:gridCol w:w="3680"/>
      </w:tblGrid>
      <w:tr w:rsidR="00CB3BA9" w:rsidRPr="00DA4B28" w:rsidTr="005D31D1">
        <w:tc>
          <w:tcPr>
            <w:tcW w:w="895" w:type="dxa"/>
          </w:tcPr>
          <w:p w:rsidR="00CB3BA9" w:rsidRPr="00DA4B28" w:rsidRDefault="00CB3BA9" w:rsidP="005D31D1">
            <w:pPr>
              <w:contextualSpacing/>
              <w:jc w:val="cente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No</w:t>
            </w:r>
          </w:p>
        </w:tc>
        <w:tc>
          <w:tcPr>
            <w:tcW w:w="4050" w:type="dxa"/>
          </w:tcPr>
          <w:p w:rsidR="00CB3BA9" w:rsidRPr="00DA4B28" w:rsidRDefault="00CB3BA9" w:rsidP="005D31D1">
            <w:pPr>
              <w:contextualSpacing/>
              <w:jc w:val="cente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Cost Items</w:t>
            </w:r>
          </w:p>
        </w:tc>
        <w:tc>
          <w:tcPr>
            <w:tcW w:w="3680" w:type="dxa"/>
          </w:tcPr>
          <w:p w:rsidR="00CB3BA9" w:rsidRPr="00DA4B28" w:rsidRDefault="00CB3BA9" w:rsidP="005D31D1">
            <w:pPr>
              <w:contextualSpacing/>
              <w:jc w:val="cente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Amount</w:t>
            </w:r>
          </w:p>
        </w:tc>
      </w:tr>
      <w:tr w:rsidR="00CB3BA9" w:rsidRPr="00DA4B28" w:rsidTr="005D31D1">
        <w:tc>
          <w:tcPr>
            <w:tcW w:w="895" w:type="dxa"/>
          </w:tcPr>
          <w:p w:rsidR="00CB3BA9" w:rsidRPr="00DA4B28" w:rsidRDefault="00CB3BA9" w:rsidP="005D31D1">
            <w:pPr>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1</w:t>
            </w:r>
          </w:p>
        </w:tc>
        <w:tc>
          <w:tcPr>
            <w:tcW w:w="4050" w:type="dxa"/>
          </w:tcPr>
          <w:p w:rsidR="00CB3BA9" w:rsidRPr="00DA4B28" w:rsidRDefault="00CB3BA9" w:rsidP="005D31D1">
            <w:pPr>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Utilities</w:t>
            </w:r>
          </w:p>
        </w:tc>
        <w:tc>
          <w:tcPr>
            <w:tcW w:w="3680" w:type="dxa"/>
          </w:tcPr>
          <w:p w:rsidR="00CB3BA9" w:rsidRPr="00DA4B28" w:rsidRDefault="00CB3BA9" w:rsidP="005D31D1">
            <w:pPr>
              <w:contextualSpacing/>
              <w:jc w:val="center"/>
              <w:rPr>
                <w:rFonts w:ascii="Times" w:eastAsia="Calibri" w:hAnsi="Times" w:cs="Times New Roman"/>
                <w:color w:val="000000"/>
                <w:sz w:val="20"/>
                <w:szCs w:val="20"/>
                <w:lang w:val="en-US"/>
              </w:rPr>
            </w:pPr>
          </w:p>
        </w:tc>
      </w:tr>
      <w:tr w:rsidR="00CB3BA9" w:rsidRPr="00DA4B28" w:rsidTr="005D31D1">
        <w:tc>
          <w:tcPr>
            <w:tcW w:w="895" w:type="dxa"/>
          </w:tcPr>
          <w:p w:rsidR="00CB3BA9" w:rsidRPr="00DA4B28" w:rsidRDefault="00CB3BA9" w:rsidP="005D31D1">
            <w:pPr>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2</w:t>
            </w:r>
          </w:p>
        </w:tc>
        <w:tc>
          <w:tcPr>
            <w:tcW w:w="4050" w:type="dxa"/>
          </w:tcPr>
          <w:p w:rsidR="00CB3BA9" w:rsidRPr="00DA4B28" w:rsidRDefault="00CB3BA9" w:rsidP="005D31D1">
            <w:pPr>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Warehouse rent</w:t>
            </w:r>
          </w:p>
        </w:tc>
        <w:tc>
          <w:tcPr>
            <w:tcW w:w="3680" w:type="dxa"/>
          </w:tcPr>
          <w:p w:rsidR="00CB3BA9" w:rsidRPr="00DA4B28" w:rsidRDefault="00CB3BA9" w:rsidP="005D31D1">
            <w:pPr>
              <w:contextualSpacing/>
              <w:jc w:val="center"/>
              <w:rPr>
                <w:rFonts w:ascii="Times" w:eastAsia="Calibri" w:hAnsi="Times" w:cs="Times New Roman"/>
                <w:color w:val="000000"/>
                <w:sz w:val="20"/>
                <w:szCs w:val="20"/>
                <w:lang w:val="en-US"/>
              </w:rPr>
            </w:pPr>
          </w:p>
        </w:tc>
      </w:tr>
      <w:tr w:rsidR="00CB3BA9" w:rsidRPr="00DA4B28" w:rsidTr="005D31D1">
        <w:tc>
          <w:tcPr>
            <w:tcW w:w="895" w:type="dxa"/>
          </w:tcPr>
          <w:p w:rsidR="00CB3BA9" w:rsidRPr="00DA4B28" w:rsidRDefault="00CB3BA9" w:rsidP="005D31D1">
            <w:pPr>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3</w:t>
            </w:r>
          </w:p>
        </w:tc>
        <w:tc>
          <w:tcPr>
            <w:tcW w:w="4050" w:type="dxa"/>
          </w:tcPr>
          <w:p w:rsidR="00CB3BA9" w:rsidRPr="00DA4B28" w:rsidRDefault="00CB3BA9" w:rsidP="005D31D1">
            <w:pPr>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Consulting services for Department 2</w:t>
            </w:r>
          </w:p>
        </w:tc>
        <w:tc>
          <w:tcPr>
            <w:tcW w:w="3680" w:type="dxa"/>
          </w:tcPr>
          <w:p w:rsidR="00CB3BA9" w:rsidRPr="00DA4B28" w:rsidRDefault="00CB3BA9" w:rsidP="005D31D1">
            <w:pPr>
              <w:contextualSpacing/>
              <w:jc w:val="center"/>
              <w:rPr>
                <w:rFonts w:ascii="Times" w:eastAsia="Calibri" w:hAnsi="Times" w:cs="Times New Roman"/>
                <w:color w:val="000000"/>
                <w:sz w:val="20"/>
                <w:szCs w:val="20"/>
                <w:lang w:val="en-US"/>
              </w:rPr>
            </w:pPr>
          </w:p>
        </w:tc>
      </w:tr>
    </w:tbl>
    <w:p w:rsidR="00CB3BA9" w:rsidRPr="00DA4B28" w:rsidRDefault="00CB3BA9" w:rsidP="00CB3BA9">
      <w:pPr>
        <w:ind w:left="720"/>
        <w:contextualSpacing/>
        <w:rPr>
          <w:rFonts w:ascii="Times" w:eastAsia="Calibri" w:hAnsi="Times" w:cs="Times New Roman"/>
          <w:color w:val="000000"/>
          <w:sz w:val="20"/>
          <w:szCs w:val="20"/>
          <w:lang w:val="en-US"/>
        </w:rPr>
      </w:pPr>
    </w:p>
    <w:tbl>
      <w:tblPr>
        <w:tblStyle w:val="TableGrid"/>
        <w:tblW w:w="0" w:type="auto"/>
        <w:tblInd w:w="720" w:type="dxa"/>
        <w:tblLook w:val="04A0" w:firstRow="1" w:lastRow="0" w:firstColumn="1" w:lastColumn="0" w:noHBand="0" w:noVBand="1"/>
      </w:tblPr>
      <w:tblGrid>
        <w:gridCol w:w="3130"/>
        <w:gridCol w:w="1541"/>
        <w:gridCol w:w="1791"/>
        <w:gridCol w:w="2157"/>
      </w:tblGrid>
      <w:tr w:rsidR="00CB3BA9" w:rsidRPr="00DA4B28" w:rsidTr="00CB3BA9">
        <w:tc>
          <w:tcPr>
            <w:tcW w:w="3130" w:type="dxa"/>
          </w:tcPr>
          <w:p w:rsidR="00CB3BA9" w:rsidRPr="00DA4B28" w:rsidRDefault="00CB3BA9" w:rsidP="005D31D1">
            <w:pPr>
              <w:contextualSpacing/>
              <w:jc w:val="cente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Allocation driver name</w:t>
            </w:r>
          </w:p>
        </w:tc>
        <w:tc>
          <w:tcPr>
            <w:tcW w:w="1541" w:type="dxa"/>
          </w:tcPr>
          <w:p w:rsidR="00CB3BA9" w:rsidRPr="00DA4B28" w:rsidRDefault="00CB3BA9" w:rsidP="005D31D1">
            <w:pPr>
              <w:contextualSpacing/>
              <w:jc w:val="cente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Department 1</w:t>
            </w:r>
          </w:p>
        </w:tc>
        <w:tc>
          <w:tcPr>
            <w:tcW w:w="1791" w:type="dxa"/>
          </w:tcPr>
          <w:p w:rsidR="00CB3BA9" w:rsidRPr="00DA4B28" w:rsidRDefault="00CB3BA9" w:rsidP="005D31D1">
            <w:pPr>
              <w:contextualSpacing/>
              <w:jc w:val="cente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Department 2</w:t>
            </w:r>
          </w:p>
        </w:tc>
        <w:tc>
          <w:tcPr>
            <w:tcW w:w="2157" w:type="dxa"/>
          </w:tcPr>
          <w:p w:rsidR="00CB3BA9" w:rsidRPr="00DA4B28" w:rsidRDefault="00CB3BA9" w:rsidP="005D31D1">
            <w:pPr>
              <w:contextualSpacing/>
              <w:jc w:val="cente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Department 3</w:t>
            </w:r>
          </w:p>
        </w:tc>
      </w:tr>
      <w:tr w:rsidR="00CB3BA9" w:rsidRPr="00DA4B28" w:rsidTr="00CB3BA9">
        <w:tc>
          <w:tcPr>
            <w:tcW w:w="3130" w:type="dxa"/>
          </w:tcPr>
          <w:p w:rsidR="00CB3BA9" w:rsidRPr="00DA4B28" w:rsidRDefault="00CB3BA9" w:rsidP="005D31D1">
            <w:pPr>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Proportion of employees in the department</w:t>
            </w:r>
          </w:p>
        </w:tc>
        <w:tc>
          <w:tcPr>
            <w:tcW w:w="1541" w:type="dxa"/>
          </w:tcPr>
          <w:p w:rsidR="00CB3BA9" w:rsidRPr="00DA4B28" w:rsidRDefault="00CB3BA9" w:rsidP="005D31D1">
            <w:pPr>
              <w:contextualSpacing/>
              <w:jc w:val="center"/>
              <w:rPr>
                <w:rFonts w:ascii="Times" w:eastAsia="Calibri" w:hAnsi="Times" w:cs="Times New Roman"/>
                <w:color w:val="000000"/>
                <w:sz w:val="20"/>
                <w:szCs w:val="20"/>
                <w:lang w:val="en-US"/>
              </w:rPr>
            </w:pPr>
          </w:p>
        </w:tc>
        <w:tc>
          <w:tcPr>
            <w:tcW w:w="1791" w:type="dxa"/>
          </w:tcPr>
          <w:p w:rsidR="00CB3BA9" w:rsidRPr="00DA4B28" w:rsidRDefault="00CB3BA9" w:rsidP="005D31D1">
            <w:pPr>
              <w:contextualSpacing/>
              <w:jc w:val="center"/>
              <w:rPr>
                <w:rFonts w:ascii="Times" w:eastAsia="Calibri" w:hAnsi="Times" w:cs="Times New Roman"/>
                <w:color w:val="000000"/>
                <w:sz w:val="20"/>
                <w:szCs w:val="20"/>
                <w:lang w:val="en-US"/>
              </w:rPr>
            </w:pPr>
          </w:p>
        </w:tc>
        <w:tc>
          <w:tcPr>
            <w:tcW w:w="2157" w:type="dxa"/>
          </w:tcPr>
          <w:p w:rsidR="00CB3BA9" w:rsidRPr="00DA4B28" w:rsidRDefault="00CB3BA9" w:rsidP="005D31D1">
            <w:pPr>
              <w:contextualSpacing/>
              <w:jc w:val="center"/>
              <w:rPr>
                <w:rFonts w:ascii="Times" w:eastAsia="Calibri" w:hAnsi="Times" w:cs="Times New Roman"/>
                <w:color w:val="000000"/>
                <w:sz w:val="20"/>
                <w:szCs w:val="20"/>
                <w:lang w:val="en-US"/>
              </w:rPr>
            </w:pPr>
          </w:p>
        </w:tc>
      </w:tr>
      <w:tr w:rsidR="00CB3BA9" w:rsidRPr="00DA4B28" w:rsidTr="00CB3BA9">
        <w:tc>
          <w:tcPr>
            <w:tcW w:w="3130" w:type="dxa"/>
          </w:tcPr>
          <w:p w:rsidR="00CB3BA9" w:rsidRPr="00DA4B28" w:rsidRDefault="00CB3BA9" w:rsidP="005D31D1">
            <w:pPr>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Space of department (m2)</w:t>
            </w:r>
          </w:p>
        </w:tc>
        <w:tc>
          <w:tcPr>
            <w:tcW w:w="1541" w:type="dxa"/>
          </w:tcPr>
          <w:p w:rsidR="00CB3BA9" w:rsidRPr="00DA4B28" w:rsidRDefault="00CB3BA9" w:rsidP="005D31D1">
            <w:pPr>
              <w:contextualSpacing/>
              <w:jc w:val="center"/>
              <w:rPr>
                <w:rFonts w:ascii="Times" w:eastAsia="Calibri" w:hAnsi="Times" w:cs="Times New Roman"/>
                <w:color w:val="000000"/>
                <w:sz w:val="20"/>
                <w:szCs w:val="20"/>
                <w:lang w:val="en-US"/>
              </w:rPr>
            </w:pPr>
          </w:p>
        </w:tc>
        <w:tc>
          <w:tcPr>
            <w:tcW w:w="1791" w:type="dxa"/>
          </w:tcPr>
          <w:p w:rsidR="00CB3BA9" w:rsidRPr="00DA4B28" w:rsidRDefault="00CB3BA9" w:rsidP="005D31D1">
            <w:pPr>
              <w:contextualSpacing/>
              <w:jc w:val="center"/>
              <w:rPr>
                <w:rFonts w:ascii="Times" w:eastAsia="Calibri" w:hAnsi="Times" w:cs="Times New Roman"/>
                <w:color w:val="000000"/>
                <w:sz w:val="20"/>
                <w:szCs w:val="20"/>
                <w:lang w:val="en-US"/>
              </w:rPr>
            </w:pPr>
          </w:p>
        </w:tc>
        <w:tc>
          <w:tcPr>
            <w:tcW w:w="2157" w:type="dxa"/>
          </w:tcPr>
          <w:p w:rsidR="00CB3BA9" w:rsidRPr="00DA4B28" w:rsidRDefault="00CB3BA9" w:rsidP="005D31D1">
            <w:pPr>
              <w:contextualSpacing/>
              <w:jc w:val="center"/>
              <w:rPr>
                <w:rFonts w:ascii="Times" w:eastAsia="Calibri" w:hAnsi="Times" w:cs="Times New Roman"/>
                <w:color w:val="000000"/>
                <w:sz w:val="20"/>
                <w:szCs w:val="20"/>
                <w:lang w:val="en-US"/>
              </w:rPr>
            </w:pPr>
          </w:p>
        </w:tc>
      </w:tr>
      <w:tr w:rsidR="00CB3BA9" w:rsidRPr="00DA4B28" w:rsidTr="00CB3BA9">
        <w:tc>
          <w:tcPr>
            <w:tcW w:w="3130" w:type="dxa"/>
          </w:tcPr>
          <w:p w:rsidR="00CB3BA9" w:rsidRPr="00DA4B28" w:rsidRDefault="00CB3BA9" w:rsidP="005D31D1">
            <w:pPr>
              <w:contextualSpacing/>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Direct allocation to the department</w:t>
            </w:r>
          </w:p>
        </w:tc>
        <w:tc>
          <w:tcPr>
            <w:tcW w:w="1541" w:type="dxa"/>
          </w:tcPr>
          <w:p w:rsidR="00CB3BA9" w:rsidRPr="00DA4B28" w:rsidRDefault="00CB3BA9" w:rsidP="005D31D1">
            <w:pPr>
              <w:contextualSpacing/>
              <w:jc w:val="cente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w:t>
            </w:r>
          </w:p>
        </w:tc>
        <w:tc>
          <w:tcPr>
            <w:tcW w:w="1791" w:type="dxa"/>
          </w:tcPr>
          <w:p w:rsidR="00CB3BA9" w:rsidRPr="00DA4B28" w:rsidRDefault="00CB3BA9" w:rsidP="005D31D1">
            <w:pPr>
              <w:contextualSpacing/>
              <w:jc w:val="cente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w:t>
            </w:r>
          </w:p>
        </w:tc>
        <w:tc>
          <w:tcPr>
            <w:tcW w:w="2157" w:type="dxa"/>
          </w:tcPr>
          <w:p w:rsidR="00CB3BA9" w:rsidRPr="00DA4B28" w:rsidRDefault="00CB3BA9" w:rsidP="005D31D1">
            <w:pPr>
              <w:contextualSpacing/>
              <w:jc w:val="center"/>
              <w:rPr>
                <w:rFonts w:ascii="Times" w:eastAsia="Calibri" w:hAnsi="Times" w:cs="Times New Roman"/>
                <w:color w:val="000000"/>
                <w:sz w:val="20"/>
                <w:szCs w:val="20"/>
                <w:lang w:val="en-US"/>
              </w:rPr>
            </w:pPr>
            <w:r w:rsidRPr="00DA4B28">
              <w:rPr>
                <w:rFonts w:ascii="Times" w:eastAsia="Calibri" w:hAnsi="Times" w:cs="Times New Roman"/>
                <w:color w:val="000000"/>
                <w:sz w:val="20"/>
                <w:szCs w:val="20"/>
                <w:lang w:val="en-US"/>
              </w:rPr>
              <w:t>-</w:t>
            </w:r>
          </w:p>
        </w:tc>
      </w:tr>
    </w:tbl>
    <w:p w:rsidR="00CB3BA9" w:rsidRPr="00DA4B28" w:rsidRDefault="00CB3BA9" w:rsidP="00CB3BA9">
      <w:pPr>
        <w:pStyle w:val="ListParagraph"/>
        <w:spacing w:after="160" w:line="259" w:lineRule="auto"/>
        <w:rPr>
          <w:rFonts w:ascii="Times" w:eastAsia="Calibri" w:hAnsi="Times" w:cs="Times New Roman"/>
          <w:color w:val="000000"/>
          <w:sz w:val="20"/>
          <w:szCs w:val="20"/>
          <w:lang w:val="en-US"/>
        </w:rPr>
      </w:pPr>
    </w:p>
    <w:p w:rsidR="00CB3BA9" w:rsidRPr="00DA4B28" w:rsidRDefault="00CB3BA9" w:rsidP="00CB3BA9">
      <w:pPr>
        <w:pStyle w:val="ListParagraph"/>
        <w:numPr>
          <w:ilvl w:val="0"/>
          <w:numId w:val="1"/>
        </w:numPr>
        <w:spacing w:after="160" w:line="259" w:lineRule="auto"/>
        <w:rPr>
          <w:rFonts w:ascii="Times" w:eastAsia="Calibri" w:hAnsi="Times" w:cs="Times New Roman"/>
          <w:color w:val="000000"/>
          <w:sz w:val="20"/>
          <w:szCs w:val="20"/>
          <w:lang w:val="en-US"/>
        </w:rPr>
      </w:pPr>
      <w:r w:rsidRPr="00DA4B28">
        <w:rPr>
          <w:rFonts w:ascii="Times" w:hAnsi="Times" w:cs="Times New Roman"/>
          <w:sz w:val="20"/>
          <w:szCs w:val="20"/>
        </w:rPr>
        <w:t xml:space="preserve">Provide the formula and describe what usually the following ratios measure: the acid-test ratio, receivables turnover, Profit Margin, Earnings per share </w:t>
      </w:r>
    </w:p>
    <w:p w:rsidR="006D49AA" w:rsidRPr="00DA4B28" w:rsidRDefault="00CB3BA9" w:rsidP="006832D1">
      <w:pPr>
        <w:pStyle w:val="ListParagraph"/>
        <w:numPr>
          <w:ilvl w:val="0"/>
          <w:numId w:val="1"/>
        </w:numPr>
        <w:rPr>
          <w:rFonts w:ascii="Times" w:hAnsi="Times"/>
          <w:sz w:val="20"/>
          <w:szCs w:val="20"/>
          <w:lang w:val="en-US"/>
        </w:rPr>
      </w:pPr>
      <w:r w:rsidRPr="00DA4B28">
        <w:rPr>
          <w:rFonts w:ascii="Times" w:hAnsi="Times" w:cs="Times New Roman"/>
          <w:sz w:val="20"/>
          <w:szCs w:val="20"/>
          <w:lang w:val="en-US"/>
        </w:rPr>
        <w:t xml:space="preserve">Describe what represent sales budget, direct </w:t>
      </w:r>
      <w:proofErr w:type="spellStart"/>
      <w:r w:rsidRPr="00DA4B28">
        <w:rPr>
          <w:rFonts w:ascii="Times" w:hAnsi="Times" w:cs="Times New Roman"/>
          <w:sz w:val="20"/>
          <w:szCs w:val="20"/>
          <w:lang w:val="en-US"/>
        </w:rPr>
        <w:t>labour</w:t>
      </w:r>
      <w:proofErr w:type="spellEnd"/>
      <w:r w:rsidRPr="00DA4B28">
        <w:rPr>
          <w:rFonts w:ascii="Times" w:hAnsi="Times" w:cs="Times New Roman"/>
          <w:sz w:val="20"/>
          <w:szCs w:val="20"/>
          <w:lang w:val="en-US"/>
        </w:rPr>
        <w:t xml:space="preserve"> budget and manufacturing overhead budgets</w:t>
      </w:r>
    </w:p>
    <w:p w:rsidR="00CB3BA9" w:rsidRPr="00DA4B28" w:rsidRDefault="00CB3BA9" w:rsidP="00CB3BA9">
      <w:pPr>
        <w:pStyle w:val="ListParagraph"/>
        <w:numPr>
          <w:ilvl w:val="0"/>
          <w:numId w:val="1"/>
        </w:numPr>
        <w:spacing w:after="160" w:line="259" w:lineRule="auto"/>
        <w:rPr>
          <w:rFonts w:ascii="Times" w:hAnsi="Times" w:cs="Times New Roman"/>
          <w:sz w:val="20"/>
          <w:szCs w:val="20"/>
        </w:rPr>
      </w:pPr>
      <w:r w:rsidRPr="00DA4B28">
        <w:rPr>
          <w:rFonts w:ascii="Times" w:hAnsi="Times" w:cs="Times New Roman"/>
          <w:sz w:val="20"/>
          <w:szCs w:val="20"/>
        </w:rPr>
        <w:t>Describe what production budget, direct materials budget and sales and administrative budget represent</w:t>
      </w:r>
    </w:p>
    <w:p w:rsidR="00CB3BA9" w:rsidRPr="00DA4B28" w:rsidRDefault="00CB3BA9" w:rsidP="00CB3BA9">
      <w:pPr>
        <w:pStyle w:val="ListParagraph"/>
        <w:numPr>
          <w:ilvl w:val="0"/>
          <w:numId w:val="1"/>
        </w:numPr>
        <w:rPr>
          <w:rFonts w:ascii="Times" w:hAnsi="Times" w:cs="Times New Roman"/>
          <w:color w:val="000000" w:themeColor="text1"/>
          <w:sz w:val="20"/>
          <w:szCs w:val="20"/>
          <w:lang w:val="en-US"/>
        </w:rPr>
      </w:pPr>
      <w:r w:rsidRPr="00DA4B28">
        <w:rPr>
          <w:rFonts w:ascii="Times" w:hAnsi="Times" w:cs="Times New Roman"/>
          <w:color w:val="000000" w:themeColor="text1"/>
          <w:sz w:val="20"/>
          <w:szCs w:val="20"/>
          <w:lang w:val="en-US"/>
        </w:rPr>
        <w:t>What is idle time. Give examples of idle time at production. How the idle time ratio is calculated?</w:t>
      </w:r>
    </w:p>
    <w:p w:rsidR="002609C6" w:rsidRPr="00DA4B28" w:rsidRDefault="002609C6" w:rsidP="002609C6">
      <w:pPr>
        <w:numPr>
          <w:ilvl w:val="0"/>
          <w:numId w:val="1"/>
        </w:numPr>
        <w:spacing w:after="200" w:line="276" w:lineRule="auto"/>
        <w:contextualSpacing/>
        <w:rPr>
          <w:rFonts w:ascii="Times" w:eastAsia="Calibri" w:hAnsi="Times" w:cs="Times New Roman"/>
          <w:color w:val="000000"/>
          <w:sz w:val="20"/>
          <w:szCs w:val="20"/>
          <w:lang w:val="en-US"/>
        </w:rPr>
      </w:pPr>
      <w:r w:rsidRPr="00DA4B28">
        <w:rPr>
          <w:rFonts w:ascii="Times" w:hAnsi="Times" w:cs="Times New Roman"/>
          <w:sz w:val="20"/>
          <w:szCs w:val="20"/>
          <w:lang w:val="en-US"/>
        </w:rPr>
        <w:t>Describe what sections does the cash budget usually include and provide minimum two examples per each</w:t>
      </w:r>
    </w:p>
    <w:p w:rsidR="002609C6" w:rsidRPr="00DA4B28" w:rsidRDefault="002609C6" w:rsidP="002609C6">
      <w:pPr>
        <w:pStyle w:val="ListParagraph"/>
        <w:numPr>
          <w:ilvl w:val="0"/>
          <w:numId w:val="1"/>
        </w:numPr>
        <w:rPr>
          <w:rFonts w:ascii="Times" w:hAnsi="Times" w:cs="Times New Roman"/>
          <w:color w:val="000000" w:themeColor="text1"/>
          <w:sz w:val="20"/>
          <w:szCs w:val="20"/>
          <w:lang w:val="en-US"/>
        </w:rPr>
      </w:pPr>
      <w:r w:rsidRPr="00DA4B28">
        <w:rPr>
          <w:rFonts w:ascii="Times" w:hAnsi="Times" w:cs="Times New Roman"/>
          <w:color w:val="000000" w:themeColor="text1"/>
          <w:sz w:val="20"/>
          <w:szCs w:val="20"/>
          <w:lang w:val="en-US"/>
        </w:rPr>
        <w:t>Explain and provide (3) examples of costs that fall into categories of fixed, stepped fixed and variable costs</w:t>
      </w:r>
    </w:p>
    <w:p w:rsidR="002609C6" w:rsidRPr="00DA4B28" w:rsidRDefault="002609C6" w:rsidP="002609C6">
      <w:pPr>
        <w:pStyle w:val="ListParagraph"/>
        <w:numPr>
          <w:ilvl w:val="0"/>
          <w:numId w:val="1"/>
        </w:numPr>
        <w:spacing w:after="160" w:line="259" w:lineRule="auto"/>
        <w:rPr>
          <w:rFonts w:ascii="Times" w:hAnsi="Times" w:cs="Times New Roman"/>
          <w:color w:val="000000" w:themeColor="text1"/>
          <w:sz w:val="20"/>
          <w:szCs w:val="20"/>
          <w:lang w:val="en-US"/>
        </w:rPr>
      </w:pPr>
      <w:r w:rsidRPr="00DA4B28">
        <w:rPr>
          <w:rFonts w:ascii="Times" w:hAnsi="Times" w:cs="Times New Roman"/>
          <w:color w:val="000000" w:themeColor="text1"/>
          <w:sz w:val="20"/>
          <w:szCs w:val="20"/>
          <w:lang w:val="en-US"/>
        </w:rPr>
        <w:t>Provide the formula and describe what usually the following ratios measure: Inventory turnover, Payout Ratio, asset Turnover</w:t>
      </w:r>
    </w:p>
    <w:p w:rsidR="00DA4B28" w:rsidRPr="00DA4B28" w:rsidRDefault="00DA4B28" w:rsidP="00DA4B28">
      <w:pPr>
        <w:numPr>
          <w:ilvl w:val="0"/>
          <w:numId w:val="1"/>
        </w:numPr>
        <w:spacing w:after="200" w:line="360" w:lineRule="auto"/>
        <w:contextualSpacing/>
        <w:rPr>
          <w:rFonts w:ascii="Times" w:eastAsia="Calibri" w:hAnsi="Times" w:cs="Times New Roman"/>
          <w:sz w:val="20"/>
          <w:szCs w:val="20"/>
          <w:lang w:val="en-US"/>
        </w:rPr>
      </w:pPr>
      <w:r w:rsidRPr="00DA4B28">
        <w:rPr>
          <w:rFonts w:ascii="Times" w:hAnsi="Times" w:cs="Times New Roman"/>
          <w:sz w:val="20"/>
          <w:szCs w:val="20"/>
          <w:lang w:val="en-US"/>
        </w:rPr>
        <w:t>Describe the usefulness of static budget reports and its potential limitations</w:t>
      </w:r>
    </w:p>
    <w:p w:rsidR="00CB3BA9" w:rsidRPr="00DA4B28" w:rsidRDefault="00CB3BA9" w:rsidP="00DA4B28">
      <w:pPr>
        <w:ind w:left="360"/>
        <w:rPr>
          <w:rFonts w:ascii="Times" w:hAnsi="Times"/>
          <w:sz w:val="20"/>
          <w:szCs w:val="20"/>
          <w:lang w:val="en-US"/>
        </w:rPr>
      </w:pPr>
    </w:p>
    <w:sectPr w:rsidR="00CB3BA9" w:rsidRPr="00DA4B28" w:rsidSect="00682B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86C"/>
    <w:multiLevelType w:val="hybridMultilevel"/>
    <w:tmpl w:val="42DC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6557D"/>
    <w:multiLevelType w:val="hybridMultilevel"/>
    <w:tmpl w:val="E4CE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6C6C"/>
    <w:multiLevelType w:val="hybridMultilevel"/>
    <w:tmpl w:val="C8D6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E1FD1"/>
    <w:multiLevelType w:val="hybridMultilevel"/>
    <w:tmpl w:val="C8002E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C3637"/>
    <w:multiLevelType w:val="hybridMultilevel"/>
    <w:tmpl w:val="EC76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96D9C"/>
    <w:multiLevelType w:val="hybridMultilevel"/>
    <w:tmpl w:val="0770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31175"/>
    <w:multiLevelType w:val="hybridMultilevel"/>
    <w:tmpl w:val="95FC7D2E"/>
    <w:lvl w:ilvl="0" w:tplc="DBC0F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6C0CA7"/>
    <w:multiLevelType w:val="hybridMultilevel"/>
    <w:tmpl w:val="7AE8A9EA"/>
    <w:lvl w:ilvl="0" w:tplc="EF809606">
      <w:start w:val="1"/>
      <w:numFmt w:val="decimal"/>
      <w:lvlText w:val="%1."/>
      <w:lvlJc w:val="left"/>
      <w:pPr>
        <w:ind w:left="1080" w:hanging="360"/>
      </w:pPr>
      <w:rPr>
        <w:rFonts w:ascii="Verdana" w:eastAsia="Calibri"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556063"/>
    <w:multiLevelType w:val="hybridMultilevel"/>
    <w:tmpl w:val="A490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85B96"/>
    <w:multiLevelType w:val="hybridMultilevel"/>
    <w:tmpl w:val="0ECCF3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56D44"/>
    <w:multiLevelType w:val="hybridMultilevel"/>
    <w:tmpl w:val="6B9E0610"/>
    <w:lvl w:ilvl="0" w:tplc="D3808FA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6CFD7B7B"/>
    <w:multiLevelType w:val="hybridMultilevel"/>
    <w:tmpl w:val="764245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F8804C9"/>
    <w:multiLevelType w:val="hybridMultilevel"/>
    <w:tmpl w:val="8AC6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73900"/>
    <w:multiLevelType w:val="hybridMultilevel"/>
    <w:tmpl w:val="B10CBA9E"/>
    <w:lvl w:ilvl="0" w:tplc="EFA2CB6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AC33B4"/>
    <w:multiLevelType w:val="hybridMultilevel"/>
    <w:tmpl w:val="96A2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A266D"/>
    <w:multiLevelType w:val="hybridMultilevel"/>
    <w:tmpl w:val="293A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4"/>
  </w:num>
  <w:num w:numId="6">
    <w:abstractNumId w:val="7"/>
  </w:num>
  <w:num w:numId="7">
    <w:abstractNumId w:val="3"/>
  </w:num>
  <w:num w:numId="8">
    <w:abstractNumId w:val="0"/>
  </w:num>
  <w:num w:numId="9">
    <w:abstractNumId w:val="1"/>
  </w:num>
  <w:num w:numId="10">
    <w:abstractNumId w:val="15"/>
  </w:num>
  <w:num w:numId="11">
    <w:abstractNumId w:val="12"/>
  </w:num>
  <w:num w:numId="12">
    <w:abstractNumId w:val="14"/>
  </w:num>
  <w:num w:numId="13">
    <w:abstractNumId w:val="11"/>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D1"/>
    <w:rsid w:val="000A55B9"/>
    <w:rsid w:val="000C6CDF"/>
    <w:rsid w:val="0013475F"/>
    <w:rsid w:val="002609C6"/>
    <w:rsid w:val="00397080"/>
    <w:rsid w:val="00682B19"/>
    <w:rsid w:val="006832D1"/>
    <w:rsid w:val="006D49AA"/>
    <w:rsid w:val="00CB3BA9"/>
    <w:rsid w:val="00DA4B28"/>
    <w:rsid w:val="00FD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2D1"/>
    <w:pPr>
      <w:spacing w:after="200" w:line="276" w:lineRule="auto"/>
      <w:ind w:left="720"/>
      <w:contextualSpacing/>
    </w:pPr>
    <w:rPr>
      <w:sz w:val="22"/>
      <w:szCs w:val="22"/>
      <w:lang w:val="az-Latn-AZ"/>
    </w:rPr>
  </w:style>
  <w:style w:type="table" w:styleId="TableGrid">
    <w:name w:val="Table Grid"/>
    <w:basedOn w:val="TableNormal"/>
    <w:uiPriority w:val="59"/>
    <w:rsid w:val="00CB3BA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6CDF"/>
    <w:rPr>
      <w:rFonts w:ascii="Tahoma" w:hAnsi="Tahoma" w:cs="Tahoma"/>
      <w:sz w:val="16"/>
      <w:szCs w:val="16"/>
    </w:rPr>
  </w:style>
  <w:style w:type="character" w:customStyle="1" w:styleId="BalloonTextChar">
    <w:name w:val="Balloon Text Char"/>
    <w:basedOn w:val="DefaultParagraphFont"/>
    <w:link w:val="BalloonText"/>
    <w:uiPriority w:val="99"/>
    <w:semiHidden/>
    <w:rsid w:val="000C6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2D1"/>
    <w:pPr>
      <w:spacing w:after="200" w:line="276" w:lineRule="auto"/>
      <w:ind w:left="720"/>
      <w:contextualSpacing/>
    </w:pPr>
    <w:rPr>
      <w:sz w:val="22"/>
      <w:szCs w:val="22"/>
      <w:lang w:val="az-Latn-AZ"/>
    </w:rPr>
  </w:style>
  <w:style w:type="table" w:styleId="TableGrid">
    <w:name w:val="Table Grid"/>
    <w:basedOn w:val="TableNormal"/>
    <w:uiPriority w:val="59"/>
    <w:rsid w:val="00CB3BA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6CDF"/>
    <w:rPr>
      <w:rFonts w:ascii="Tahoma" w:hAnsi="Tahoma" w:cs="Tahoma"/>
      <w:sz w:val="16"/>
      <w:szCs w:val="16"/>
    </w:rPr>
  </w:style>
  <w:style w:type="character" w:customStyle="1" w:styleId="BalloonTextChar">
    <w:name w:val="Balloon Text Char"/>
    <w:basedOn w:val="DefaultParagraphFont"/>
    <w:link w:val="BalloonText"/>
    <w:uiPriority w:val="99"/>
    <w:semiHidden/>
    <w:rsid w:val="000C6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İnarə Rzayeva</cp:lastModifiedBy>
  <cp:revision>2</cp:revision>
  <dcterms:created xsi:type="dcterms:W3CDTF">2018-04-26T09:46:00Z</dcterms:created>
  <dcterms:modified xsi:type="dcterms:W3CDTF">2018-04-26T09:46:00Z</dcterms:modified>
</cp:coreProperties>
</file>