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AC60C5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AZƏRBAYCAN </w:t>
      </w:r>
      <w:r w:rsidRPr="00AC60C5">
        <w:rPr>
          <w:rFonts w:ascii="Times New Roman" w:eastAsia="MS Mincho" w:hAnsi="Times New Roman" w:cs="Times New Roman"/>
          <w:b/>
          <w:sz w:val="24"/>
          <w:szCs w:val="24"/>
          <w:u w:color="FF00FF"/>
          <w:lang w:val="az-Latn-AZ" w:eastAsia="ru-RU"/>
        </w:rPr>
        <w:t>RESPUBL</w:t>
      </w:r>
      <w:r w:rsidRPr="00AC60C5">
        <w:rPr>
          <w:rFonts w:ascii="Times New Roman" w:eastAsia="MS Mincho" w:hAnsi="Times New Roman" w:cs="Times New Roman"/>
          <w:b/>
          <w:sz w:val="24"/>
          <w:szCs w:val="24"/>
          <w:u w:color="FF00FF"/>
          <w:lang w:val="ru-RU" w:eastAsia="ru-RU"/>
        </w:rPr>
        <w:t>İ</w:t>
      </w:r>
      <w:r w:rsidRPr="00AC60C5">
        <w:rPr>
          <w:rFonts w:ascii="Times New Roman" w:eastAsia="MS Mincho" w:hAnsi="Times New Roman" w:cs="Times New Roman"/>
          <w:b/>
          <w:sz w:val="24"/>
          <w:szCs w:val="24"/>
          <w:u w:color="FF00FF"/>
          <w:lang w:val="az-Latn-AZ" w:eastAsia="ru-RU"/>
        </w:rPr>
        <w:t>KASI</w:t>
      </w:r>
      <w:r w:rsidRPr="00AC60C5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TƏHSİL </w:t>
      </w:r>
      <w:r w:rsidRPr="00AC60C5">
        <w:rPr>
          <w:rFonts w:ascii="Times New Roman" w:eastAsia="MS Mincho" w:hAnsi="Times New Roman" w:cs="Times New Roman"/>
          <w:b/>
          <w:sz w:val="24"/>
          <w:szCs w:val="24"/>
          <w:u w:color="FF00FF"/>
          <w:lang w:val="az-Latn-AZ" w:eastAsia="ru-RU"/>
        </w:rPr>
        <w:t>NAZ</w:t>
      </w:r>
      <w:r w:rsidRPr="00AC60C5">
        <w:rPr>
          <w:rFonts w:ascii="Times New Roman" w:eastAsia="MS Mincho" w:hAnsi="Times New Roman" w:cs="Times New Roman"/>
          <w:b/>
          <w:sz w:val="24"/>
          <w:szCs w:val="24"/>
          <w:u w:color="FF00FF"/>
          <w:lang w:val="ru-RU" w:eastAsia="ru-RU"/>
        </w:rPr>
        <w:t>İ</w:t>
      </w:r>
      <w:r w:rsidRPr="00AC60C5">
        <w:rPr>
          <w:rFonts w:ascii="Times New Roman" w:eastAsia="MS Mincho" w:hAnsi="Times New Roman" w:cs="Times New Roman"/>
          <w:b/>
          <w:sz w:val="24"/>
          <w:szCs w:val="24"/>
          <w:u w:color="FF00FF"/>
          <w:lang w:val="az-Latn-AZ" w:eastAsia="ru-RU"/>
        </w:rPr>
        <w:t>RLİYİ</w: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10"/>
          <w:szCs w:val="10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AC60C5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AZƏRBAYCAN DÖVLƏT İQTİSAD UNİVERSİTETİ</w: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4C24DF">
        <w:rPr>
          <w:rFonts w:ascii="Times New Roman" w:eastAsia="MS Mincho" w:hAnsi="Times New Roman" w:cs="Times New Roman"/>
          <w:b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" from="-.85pt,7.9pt" to="305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" strokeweight="3pt">
            <v:stroke linestyle="thickThin"/>
          </v:line>
        </w:pic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90583A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«</w:t>
      </w:r>
      <w:r w:rsidRPr="00AC60C5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BANK İŞİ</w:t>
      </w:r>
      <w:r w:rsidRPr="0090583A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» </w:t>
      </w:r>
      <w:r w:rsidRPr="00AC60C5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KAFEDRASI</w: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30"/>
          <w:szCs w:val="30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30"/>
          <w:szCs w:val="30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az-Latn-AZ" w:eastAsia="ja-JP"/>
        </w:rPr>
      </w:pPr>
      <w:r w:rsidRPr="00AC60C5">
        <w:rPr>
          <w:rFonts w:ascii="Times New Roman" w:eastAsia="MS Mincho" w:hAnsi="Times New Roman" w:cs="Times New Roman"/>
          <w:b/>
          <w:sz w:val="30"/>
          <w:szCs w:val="30"/>
          <w:lang w:val="az-Latn-AZ" w:eastAsia="ru-RU"/>
        </w:rPr>
        <w:t>«</w:t>
      </w:r>
      <w:r>
        <w:rPr>
          <w:rFonts w:ascii="Times New Roman" w:eastAsia="MS Mincho" w:hAnsi="Times New Roman" w:cs="Times New Roman"/>
          <w:b/>
          <w:sz w:val="30"/>
          <w:szCs w:val="30"/>
          <w:lang w:val="az-Latn-AZ" w:eastAsia="ru-RU"/>
        </w:rPr>
        <w:t xml:space="preserve">Dünya maliyyə </w:t>
      </w:r>
      <w:r>
        <w:rPr>
          <w:rFonts w:ascii="Times New Roman" w:eastAsia="Times New Roman" w:hAnsi="Times New Roman" w:cs="Times New Roman"/>
          <w:b/>
          <w:sz w:val="30"/>
          <w:szCs w:val="30"/>
          <w:lang w:val="az-Latn-AZ" w:eastAsia="ja-JP"/>
        </w:rPr>
        <w:t xml:space="preserve">və </w:t>
      </w:r>
      <w:r w:rsidRPr="00AC60C5">
        <w:rPr>
          <w:rFonts w:ascii="Times New Roman" w:eastAsia="Times New Roman" w:hAnsi="Times New Roman" w:cs="Times New Roman"/>
          <w:b/>
          <w:sz w:val="30"/>
          <w:szCs w:val="30"/>
          <w:u w:color="FF00FF"/>
          <w:lang w:val="az-Latn-AZ" w:eastAsia="ja-JP"/>
        </w:rPr>
        <w:t>valyuta</w:t>
      </w:r>
      <w:r w:rsidRPr="00AC60C5">
        <w:rPr>
          <w:rFonts w:ascii="Times New Roman" w:eastAsia="Times New Roman" w:hAnsi="Times New Roman" w:cs="Times New Roman"/>
          <w:b/>
          <w:sz w:val="30"/>
          <w:szCs w:val="30"/>
          <w:lang w:val="az-Latn-AZ" w:eastAsia="ja-JP"/>
        </w:rPr>
        <w:t xml:space="preserve"> – kred</w:t>
      </w:r>
      <w:r w:rsidRPr="00AC60C5">
        <w:rPr>
          <w:rFonts w:ascii="Times New Roman" w:eastAsia="MS Mincho" w:hAnsi="Times New Roman" w:cs="Times New Roman"/>
          <w:b/>
          <w:sz w:val="30"/>
          <w:szCs w:val="30"/>
          <w:lang w:val="az-Latn-AZ" w:eastAsia="ru-RU"/>
        </w:rPr>
        <w:t>i</w:t>
      </w:r>
      <w:r w:rsidRPr="00AC60C5">
        <w:rPr>
          <w:rFonts w:ascii="Times New Roman" w:eastAsia="Times New Roman" w:hAnsi="Times New Roman" w:cs="Times New Roman"/>
          <w:b/>
          <w:sz w:val="30"/>
          <w:szCs w:val="30"/>
          <w:lang w:val="az-Latn-AZ" w:eastAsia="ja-JP"/>
        </w:rPr>
        <w:t xml:space="preserve">t </w:t>
      </w:r>
      <w:r>
        <w:rPr>
          <w:rFonts w:ascii="Times New Roman" w:eastAsia="Times New Roman" w:hAnsi="Times New Roman" w:cs="Times New Roman"/>
          <w:b/>
          <w:sz w:val="30"/>
          <w:szCs w:val="30"/>
          <w:lang w:val="az-Latn-AZ" w:eastAsia="ja-JP"/>
        </w:rPr>
        <w:t>siyasətinin müasir arxitekturası</w:t>
      </w:r>
      <w:r w:rsidRPr="00AC60C5">
        <w:rPr>
          <w:rFonts w:ascii="Times New Roman" w:eastAsia="Times New Roman" w:hAnsi="Times New Roman" w:cs="Times New Roman"/>
          <w:b/>
          <w:sz w:val="30"/>
          <w:szCs w:val="30"/>
          <w:lang w:val="az-Latn-AZ" w:eastAsia="ja-JP"/>
        </w:rPr>
        <w:t xml:space="preserve">» </w:t>
      </w:r>
      <w:r w:rsidRPr="00AC60C5">
        <w:rPr>
          <w:rFonts w:ascii="Times New Roman" w:eastAsia="Times New Roman" w:hAnsi="Times New Roman" w:cs="Times New Roman"/>
          <w:b/>
          <w:sz w:val="30"/>
          <w:szCs w:val="30"/>
          <w:lang w:val="az-Latn-AZ" w:eastAsia="ja-JP"/>
        </w:rPr>
        <w:br/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</w:pPr>
      <w:r w:rsidRPr="00AC60C5">
        <w:rPr>
          <w:rFonts w:ascii="Times New Roman" w:eastAsia="Times New Roman" w:hAnsi="Times New Roman" w:cs="Times New Roman"/>
          <w:b/>
          <w:sz w:val="24"/>
          <w:szCs w:val="24"/>
          <w:lang w:val="az-Latn-AZ" w:eastAsia="ja-JP"/>
        </w:rPr>
        <w:t xml:space="preserve">fənni üzrə </w: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  <w:lang w:val="az-Latn-AZ" w:eastAsia="ja-JP"/>
        </w:rPr>
      </w:pPr>
      <w:r w:rsidRPr="00AC60C5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az-Latn-AZ" w:eastAsia="ja-JP"/>
        </w:rPr>
        <w:br/>
      </w:r>
      <w:r w:rsidRPr="00AC60C5">
        <w:rPr>
          <w:rFonts w:ascii="Times New Roman" w:eastAsia="Times New Roman" w:hAnsi="Times New Roman" w:cs="Times New Roman"/>
          <w:b/>
          <w:spacing w:val="40"/>
          <w:sz w:val="32"/>
          <w:szCs w:val="32"/>
          <w:lang w:val="az-Latn-AZ" w:eastAsia="ja-JP"/>
        </w:rPr>
        <w:t>TƏDRİSPROQRAMI</w: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(magistratura pilləsi üzrə) </w: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AC60C5">
        <w:rPr>
          <w:rFonts w:ascii="Times New Roman" w:eastAsia="MS Mincho" w:hAnsi="Times New Roman" w:cs="Times New Roman"/>
          <w:b/>
          <w:sz w:val="24"/>
          <w:szCs w:val="24"/>
          <w:u w:color="FF00FF"/>
          <w:lang w:val="az-Latn-AZ" w:eastAsia="ru-RU"/>
        </w:rPr>
        <w:t>Bakı</w:t>
      </w:r>
      <w:r w:rsidRPr="00AC60C5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- 201</w:t>
      </w:r>
      <w:r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5</w:t>
      </w: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Default="00AE1356" w:rsidP="00AE1356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Default="00AE1356" w:rsidP="00AE1356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Default="00AE1356" w:rsidP="00AE1356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:rsidR="00AE1356" w:rsidRPr="00AC60C5" w:rsidRDefault="00AE1356" w:rsidP="00AE1356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az-Latn-AZ" w:eastAsia="ru-RU"/>
        </w:rPr>
      </w:pPr>
      <w:r w:rsidRPr="00AC60C5">
        <w:rPr>
          <w:rFonts w:ascii="Times New Roman" w:eastAsia="MS Mincho" w:hAnsi="Times New Roman" w:cs="Times New Roman"/>
          <w:b/>
          <w:lang w:val="az-Latn-AZ" w:eastAsia="ru-RU"/>
        </w:rPr>
        <w:br w:type="page"/>
      </w:r>
      <w:r w:rsidRPr="00AC60C5">
        <w:rPr>
          <w:rFonts w:ascii="Times New Roman" w:eastAsia="MS Mincho" w:hAnsi="Times New Roman" w:cs="Times New Roman"/>
          <w:b/>
          <w:lang w:val="az-Latn-AZ" w:eastAsia="ru-RU"/>
        </w:rPr>
        <w:lastRenderedPageBreak/>
        <w:t>İmtahan sualları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Azərbaycanıntədiyyə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balansı və Azərbaycanın beynəlxalq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investisiya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mövqeyi.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Makroiqtisadi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tarazlığın təminatında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siyasətinin rolu və əhəmiyyəti.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b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tənzimlənməsi və nəzarəti.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siyasətinin istiqamət və formaları.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b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 - ölkənin iqtisadi təhlükəsizliyinin əsas təminatı kimi.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siyasətinin formaları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Mərkəzi Bank -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siyasətinin həyata keçirən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insitut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kimi.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məzənnə siyasəti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Azərbaycandavalyuta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siyasətinin əsas vəzifələri.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Dünya iqtisadiyyatında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Transmilli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Banklar (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TMB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).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Beynəlxalq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bankçılıq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fəaliyyətində risk növləri.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Beynəlxalq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bankçılıq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fəaliyyətində yeni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kreditləşdirmə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texnikaları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İnkişaf etmiş ölkələrin bank sistemləri arasında rəqabət.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İnkişaf etməkdə olan ölkələrə qoyulan qısamüddətli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investisiyalar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və portfel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investisiyalarinvestisiya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alətlərinin növlərinə çeşidli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investisiya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fondlarının təşkil.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b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Azərbaycanda Beynəlxalq maliyyə– kredit təşkilatlarının fəaliyyəti.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>Dünya maliyyə</w:t>
      </w:r>
      <w:r w:rsidRPr="00AC60C5">
        <w:rPr>
          <w:rFonts w:ascii="Times New Roman" w:eastAsia="MS Mincho" w:hAnsi="Times New Roman" w:cs="Times New Roman"/>
          <w:lang w:eastAsia="ru-RU"/>
        </w:rPr>
        <w:t>-</w:t>
      </w:r>
      <w:r w:rsidRPr="00AC60C5">
        <w:rPr>
          <w:rFonts w:ascii="Times New Roman" w:eastAsia="MS Mincho" w:hAnsi="Times New Roman" w:cs="Times New Roman"/>
          <w:lang w:val="az-Latn-AZ" w:eastAsia="ru-RU"/>
        </w:rPr>
        <w:t>kredit sisteminin arxitekturasını təkmilləşdiril</w:t>
      </w:r>
      <w:r w:rsidRPr="00AC60C5">
        <w:rPr>
          <w:rFonts w:ascii="Times New Roman" w:eastAsia="MS Mincho" w:hAnsi="Times New Roman" w:cs="Times New Roman"/>
          <w:lang w:eastAsia="ru-RU"/>
        </w:rPr>
        <w:softHyphen/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məsi.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>Qısamüddətli pul sərmayəsi (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Hotmoney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), faiz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arbitrajı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əməliyyatından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qazanc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və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finans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böhranları.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Qlobal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Yoluxma effektinin milli iqtisadiyyata təsiri.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Qlobal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proseslər fonunda Rusiya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bank böhranı.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40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Qlobal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proseslər fonunda Türkiyə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bank böhranı.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>Tədiyə balansı anlayışı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Azərbaycanintədiyyə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balansı və Azərbaycanın beynəlxalq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investisiya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mövqeyi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siyasətinin rolu və əhəmiyyəti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b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tənzimlənməsi və nəzarəti.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siyasətinin istiqamət və formaları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>Məzənnə siyasətinin fəlsəfəsi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Beynəlxalq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bankçılığın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mahiyyəti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lastRenderedPageBreak/>
        <w:t xml:space="preserve">Beynəlxalq bankların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insitisuonal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xidmət vahidləri.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>Beynəlxalq kapital bazarları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Azərbaycanda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bazarının tənzimlənməsi.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Azərbaycanda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nəzarətinin məqsəd və istiqamətləri.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Azərbaycanda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valyuta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nəzarəti orqanları və agentlərin səlahiyyətləri.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bCs/>
          <w:color w:val="000000"/>
          <w:spacing w:val="-4"/>
          <w:lang w:val="az-Latn-AZ" w:eastAsia="ru-RU"/>
        </w:rPr>
      </w:pPr>
      <w:r w:rsidRPr="00AC60C5">
        <w:rPr>
          <w:rFonts w:ascii="Times New Roman" w:eastAsia="MS Mincho" w:hAnsi="Times New Roman" w:cs="Times New Roman"/>
          <w:bCs/>
          <w:color w:val="000000"/>
          <w:spacing w:val="-4"/>
          <w:lang w:val="az-Latn-AZ" w:eastAsia="ru-RU"/>
        </w:rPr>
        <w:t>Beynəlxalq kreditin mahiyyəti.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Beynəlxalq kreditin şərtləri. 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>Beynəlxalq borc böhranı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color w:val="000000"/>
          <w:u w:color="FF00FF"/>
          <w:lang w:val="az-Latn-AZ" w:eastAsia="ru-RU"/>
        </w:rPr>
        <w:t>BVF</w:t>
      </w:r>
      <w:r w:rsidRPr="00AC60C5">
        <w:rPr>
          <w:rFonts w:ascii="Times New Roman" w:eastAsia="MS Mincho" w:hAnsi="Times New Roman" w:cs="Times New Roman"/>
          <w:color w:val="000000"/>
          <w:lang w:val="az-Latn-AZ" w:eastAsia="ru-RU"/>
        </w:rPr>
        <w:t>-</w:t>
      </w:r>
      <w:r w:rsidRPr="00AC60C5">
        <w:rPr>
          <w:rFonts w:ascii="Times New Roman" w:eastAsia="MS Mincho" w:hAnsi="Times New Roman" w:cs="Times New Roman"/>
          <w:color w:val="000000"/>
          <w:u w:color="FF00FF"/>
          <w:lang w:val="az-Latn-AZ" w:eastAsia="ru-RU"/>
        </w:rPr>
        <w:t>nin</w:t>
      </w:r>
      <w:r w:rsidR="00136A5D">
        <w:rPr>
          <w:rFonts w:ascii="Times New Roman" w:eastAsia="MS Mincho" w:hAnsi="Times New Roman" w:cs="Times New Roman"/>
          <w:color w:val="000000"/>
          <w:u w:color="FF00FF"/>
          <w:lang w:val="az-Latn-AZ" w:eastAsia="ru-RU"/>
        </w:rPr>
        <w:t xml:space="preserve"> </w:t>
      </w:r>
      <w:r w:rsidRPr="00AC60C5">
        <w:rPr>
          <w:rFonts w:ascii="Times New Roman" w:eastAsia="MS Mincho" w:hAnsi="Times New Roman" w:cs="Times New Roman"/>
          <w:lang w:val="az-Latn-AZ" w:eastAsia="ru-RU"/>
        </w:rPr>
        <w:t>məqsəd və fəaliyyəti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Bankçılıq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sektorunda böhranların səbəb və nəticələri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Qlobal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“Yoluxma effektinin” milli iqtisadiyyata təsiri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qlobal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böhran fonunda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Monetar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siyasət tədbirləri</w:t>
      </w:r>
    </w:p>
    <w:p w:rsidR="00AE1356" w:rsidRPr="00AC60C5" w:rsidRDefault="00AE1356" w:rsidP="00AE1356">
      <w:pPr>
        <w:numPr>
          <w:ilvl w:val="0"/>
          <w:numId w:val="26"/>
        </w:numPr>
        <w:spacing w:after="0" w:line="240" w:lineRule="auto"/>
        <w:ind w:left="574" w:hanging="574"/>
        <w:jc w:val="both"/>
        <w:rPr>
          <w:rFonts w:ascii="Times New Roman" w:eastAsia="MS Mincho" w:hAnsi="Times New Roman" w:cs="Times New Roman"/>
          <w:lang w:val="az-Latn-AZ" w:eastAsia="ru-RU"/>
        </w:rPr>
      </w:pP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Müxtəlif ölkələrdə dövlət orqanlarının tətbiq etdikləri </w:t>
      </w:r>
      <w:r w:rsidRPr="00AC60C5">
        <w:rPr>
          <w:rFonts w:ascii="Times New Roman" w:eastAsia="MS Mincho" w:hAnsi="Times New Roman" w:cs="Times New Roman"/>
          <w:u w:color="FF00FF"/>
          <w:lang w:val="az-Latn-AZ" w:eastAsia="ru-RU"/>
        </w:rPr>
        <w:t>antiböhran</w:t>
      </w:r>
      <w:r w:rsidRPr="00AC60C5">
        <w:rPr>
          <w:rFonts w:ascii="Times New Roman" w:eastAsia="MS Mincho" w:hAnsi="Times New Roman" w:cs="Times New Roman"/>
          <w:lang w:val="az-Latn-AZ" w:eastAsia="ru-RU"/>
        </w:rPr>
        <w:t xml:space="preserve"> tədbirlərin təhlili</w:t>
      </w:r>
    </w:p>
    <w:p w:rsidR="00AE1356" w:rsidRPr="00AC60C5" w:rsidRDefault="00AE1356" w:rsidP="00AE1356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4"/>
          <w:lang w:val="az-Latn-AZ" w:eastAsia="ru-RU"/>
        </w:rPr>
      </w:pPr>
    </w:p>
    <w:p w:rsidR="00AE1356" w:rsidRDefault="00AE1356" w:rsidP="00AE1356">
      <w:pPr>
        <w:spacing w:after="0" w:line="240" w:lineRule="auto"/>
        <w:jc w:val="center"/>
      </w:pPr>
      <w:r w:rsidRPr="00AC60C5">
        <w:rPr>
          <w:rFonts w:ascii="Times New Roman" w:eastAsia="MS Mincho" w:hAnsi="Times New Roman" w:cs="Times New Roman"/>
          <w:b/>
          <w:lang w:val="az-Latn-AZ" w:eastAsia="ru-RU"/>
        </w:rPr>
        <w:br w:type="page"/>
      </w:r>
    </w:p>
    <w:p w:rsidR="005A504A" w:rsidRDefault="005A504A"/>
    <w:sectPr w:rsidR="005A504A" w:rsidSect="00B23A75">
      <w:headerReference w:type="even" r:id="rId5"/>
      <w:footerReference w:type="even" r:id="rId6"/>
      <w:footerReference w:type="default" r:id="rId7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75" w:rsidRDefault="00EC229D" w:rsidP="00B23A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A75" w:rsidRDefault="00EC229D" w:rsidP="00B23A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75" w:rsidRDefault="00EC229D" w:rsidP="00B23A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A5D">
      <w:rPr>
        <w:rStyle w:val="a7"/>
        <w:noProof/>
      </w:rPr>
      <w:t>4</w:t>
    </w:r>
    <w:r>
      <w:rPr>
        <w:rStyle w:val="a7"/>
      </w:rPr>
      <w:fldChar w:fldCharType="end"/>
    </w:r>
  </w:p>
  <w:p w:rsidR="00B23A75" w:rsidRDefault="00EC229D" w:rsidP="00B23A75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75" w:rsidRDefault="00EC229D" w:rsidP="00B23A7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A75" w:rsidRDefault="00EC22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F5E"/>
    <w:multiLevelType w:val="hybridMultilevel"/>
    <w:tmpl w:val="7C044A10"/>
    <w:lvl w:ilvl="0" w:tplc="37EA7D84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6B48"/>
    <w:multiLevelType w:val="hybridMultilevel"/>
    <w:tmpl w:val="0D50000E"/>
    <w:lvl w:ilvl="0" w:tplc="6F6888AA">
      <w:start w:val="1"/>
      <w:numFmt w:val="decimal"/>
      <w:lvlText w:val="%1."/>
      <w:lvlJc w:val="left"/>
      <w:pPr>
        <w:tabs>
          <w:tab w:val="num" w:pos="568"/>
        </w:tabs>
        <w:ind w:left="653" w:hanging="22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25212B7"/>
    <w:multiLevelType w:val="hybridMultilevel"/>
    <w:tmpl w:val="66289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38B"/>
    <w:multiLevelType w:val="hybridMultilevel"/>
    <w:tmpl w:val="F348A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210AB"/>
    <w:multiLevelType w:val="hybridMultilevel"/>
    <w:tmpl w:val="4FBE8926"/>
    <w:lvl w:ilvl="0" w:tplc="8D6AA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823B4"/>
    <w:multiLevelType w:val="hybridMultilevel"/>
    <w:tmpl w:val="DF428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12F58"/>
    <w:multiLevelType w:val="multilevel"/>
    <w:tmpl w:val="66289D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153A8"/>
    <w:multiLevelType w:val="hybridMultilevel"/>
    <w:tmpl w:val="3740EA1C"/>
    <w:lvl w:ilvl="0" w:tplc="E3CA6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92900"/>
    <w:multiLevelType w:val="hybridMultilevel"/>
    <w:tmpl w:val="26D665B2"/>
    <w:lvl w:ilvl="0" w:tplc="2378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242CD"/>
    <w:multiLevelType w:val="multilevel"/>
    <w:tmpl w:val="8516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6061F"/>
    <w:multiLevelType w:val="hybridMultilevel"/>
    <w:tmpl w:val="487C0952"/>
    <w:lvl w:ilvl="0" w:tplc="E3B07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D13A2"/>
    <w:multiLevelType w:val="hybridMultilevel"/>
    <w:tmpl w:val="1D280E8A"/>
    <w:lvl w:ilvl="0" w:tplc="0D94319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C807FE4"/>
    <w:multiLevelType w:val="hybridMultilevel"/>
    <w:tmpl w:val="37E6DCB8"/>
    <w:lvl w:ilvl="0" w:tplc="37EA7D84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74794"/>
    <w:multiLevelType w:val="hybridMultilevel"/>
    <w:tmpl w:val="85160504"/>
    <w:lvl w:ilvl="0" w:tplc="2378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7541FF"/>
    <w:multiLevelType w:val="hybridMultilevel"/>
    <w:tmpl w:val="0F5EF4CE"/>
    <w:lvl w:ilvl="0" w:tplc="3B8E3C2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53C2988"/>
    <w:multiLevelType w:val="hybridMultilevel"/>
    <w:tmpl w:val="1B0E6D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E0E85E4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6EB43F0"/>
    <w:multiLevelType w:val="hybridMultilevel"/>
    <w:tmpl w:val="2ABCD098"/>
    <w:lvl w:ilvl="0" w:tplc="EE9A3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56407"/>
    <w:multiLevelType w:val="hybridMultilevel"/>
    <w:tmpl w:val="4C5E4148"/>
    <w:lvl w:ilvl="0" w:tplc="DFDC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D060FE">
      <w:start w:val="1"/>
      <w:numFmt w:val="decimal"/>
      <w:lvlText w:val="%2."/>
      <w:lvlJc w:val="left"/>
      <w:pPr>
        <w:tabs>
          <w:tab w:val="num" w:pos="2063"/>
        </w:tabs>
        <w:ind w:left="2063" w:hanging="623"/>
      </w:pPr>
      <w:rPr>
        <w:rFonts w:hint="default"/>
        <w:b w:val="0"/>
      </w:rPr>
    </w:lvl>
    <w:lvl w:ilvl="2" w:tplc="F84400D6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7C39CF"/>
    <w:multiLevelType w:val="hybridMultilevel"/>
    <w:tmpl w:val="D28CBE8E"/>
    <w:lvl w:ilvl="0" w:tplc="76AE64F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FC4462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41F5D"/>
    <w:multiLevelType w:val="hybridMultilevel"/>
    <w:tmpl w:val="B644BD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3452CC9"/>
    <w:multiLevelType w:val="multilevel"/>
    <w:tmpl w:val="26D66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426EB"/>
    <w:multiLevelType w:val="hybridMultilevel"/>
    <w:tmpl w:val="BFBAC36E"/>
    <w:lvl w:ilvl="0" w:tplc="F3AA8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C03E5C"/>
    <w:multiLevelType w:val="hybridMultilevel"/>
    <w:tmpl w:val="2DA2146A"/>
    <w:lvl w:ilvl="0" w:tplc="37EA7D84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85EDF"/>
    <w:multiLevelType w:val="hybridMultilevel"/>
    <w:tmpl w:val="52A01AEA"/>
    <w:lvl w:ilvl="0" w:tplc="0419000B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F316A27"/>
    <w:multiLevelType w:val="hybridMultilevel"/>
    <w:tmpl w:val="4F18E584"/>
    <w:lvl w:ilvl="0" w:tplc="2378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E1D11"/>
    <w:multiLevelType w:val="hybridMultilevel"/>
    <w:tmpl w:val="7E0C2F92"/>
    <w:lvl w:ilvl="0" w:tplc="4C74833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1AF1D52"/>
    <w:multiLevelType w:val="hybridMultilevel"/>
    <w:tmpl w:val="F6AA8844"/>
    <w:lvl w:ilvl="0" w:tplc="37EA7D84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A0D1D"/>
    <w:multiLevelType w:val="hybridMultilevel"/>
    <w:tmpl w:val="20303CE0"/>
    <w:lvl w:ilvl="0" w:tplc="BA0C1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E22DD"/>
    <w:multiLevelType w:val="hybridMultilevel"/>
    <w:tmpl w:val="7C9289D8"/>
    <w:lvl w:ilvl="0" w:tplc="2378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4F"/>
    <w:multiLevelType w:val="multilevel"/>
    <w:tmpl w:val="2030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6540E"/>
    <w:multiLevelType w:val="hybridMultilevel"/>
    <w:tmpl w:val="A92805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B3A31E9"/>
    <w:multiLevelType w:val="hybridMultilevel"/>
    <w:tmpl w:val="F3663CE8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1E0E85E4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32">
    <w:nsid w:val="7CC72C95"/>
    <w:multiLevelType w:val="hybridMultilevel"/>
    <w:tmpl w:val="FF54F0EC"/>
    <w:lvl w:ilvl="0" w:tplc="37EA7D84">
      <w:start w:val="1"/>
      <w:numFmt w:val="decimal"/>
      <w:lvlText w:val="%1."/>
      <w:lvlJc w:val="left"/>
      <w:pPr>
        <w:tabs>
          <w:tab w:val="num" w:pos="1883"/>
        </w:tabs>
        <w:ind w:left="1883" w:hanging="6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F955C26"/>
    <w:multiLevelType w:val="hybridMultilevel"/>
    <w:tmpl w:val="C5D63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31"/>
  </w:num>
  <w:num w:numId="7">
    <w:abstractNumId w:val="15"/>
  </w:num>
  <w:num w:numId="8">
    <w:abstractNumId w:val="3"/>
  </w:num>
  <w:num w:numId="9">
    <w:abstractNumId w:val="17"/>
  </w:num>
  <w:num w:numId="10">
    <w:abstractNumId w:val="25"/>
  </w:num>
  <w:num w:numId="11">
    <w:abstractNumId w:val="30"/>
  </w:num>
  <w:num w:numId="12">
    <w:abstractNumId w:val="32"/>
  </w:num>
  <w:num w:numId="13">
    <w:abstractNumId w:val="0"/>
  </w:num>
  <w:num w:numId="14">
    <w:abstractNumId w:val="12"/>
  </w:num>
  <w:num w:numId="15">
    <w:abstractNumId w:val="26"/>
  </w:num>
  <w:num w:numId="16">
    <w:abstractNumId w:val="22"/>
  </w:num>
  <w:num w:numId="17">
    <w:abstractNumId w:val="21"/>
  </w:num>
  <w:num w:numId="18">
    <w:abstractNumId w:val="6"/>
  </w:num>
  <w:num w:numId="19">
    <w:abstractNumId w:val="27"/>
  </w:num>
  <w:num w:numId="20">
    <w:abstractNumId w:val="13"/>
  </w:num>
  <w:num w:numId="21">
    <w:abstractNumId w:val="9"/>
  </w:num>
  <w:num w:numId="22">
    <w:abstractNumId w:val="28"/>
  </w:num>
  <w:num w:numId="23">
    <w:abstractNumId w:val="7"/>
  </w:num>
  <w:num w:numId="24">
    <w:abstractNumId w:val="8"/>
  </w:num>
  <w:num w:numId="25">
    <w:abstractNumId w:val="20"/>
  </w:num>
  <w:num w:numId="26">
    <w:abstractNumId w:val="16"/>
  </w:num>
  <w:num w:numId="27">
    <w:abstractNumId w:val="29"/>
  </w:num>
  <w:num w:numId="28">
    <w:abstractNumId w:val="4"/>
  </w:num>
  <w:num w:numId="29">
    <w:abstractNumId w:val="14"/>
  </w:num>
  <w:num w:numId="30">
    <w:abstractNumId w:val="19"/>
  </w:num>
  <w:num w:numId="31">
    <w:abstractNumId w:val="33"/>
  </w:num>
  <w:num w:numId="32">
    <w:abstractNumId w:val="5"/>
  </w:num>
  <w:num w:numId="33">
    <w:abstractNumId w:val="2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E1356"/>
    <w:rsid w:val="000832D1"/>
    <w:rsid w:val="00136A5D"/>
    <w:rsid w:val="005A504A"/>
    <w:rsid w:val="0090652C"/>
    <w:rsid w:val="00AE1356"/>
    <w:rsid w:val="00CE7478"/>
    <w:rsid w:val="00E82160"/>
    <w:rsid w:val="00E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6"/>
    <w:rPr>
      <w:lang w:val="en-US"/>
    </w:rPr>
  </w:style>
  <w:style w:type="paragraph" w:styleId="2">
    <w:name w:val="heading 2"/>
    <w:basedOn w:val="a"/>
    <w:link w:val="20"/>
    <w:qFormat/>
    <w:rsid w:val="00AE1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35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numbering" w:customStyle="1" w:styleId="1">
    <w:name w:val="Нет списка1"/>
    <w:next w:val="a2"/>
    <w:semiHidden/>
    <w:rsid w:val="00AE1356"/>
  </w:style>
  <w:style w:type="paragraph" w:styleId="a3">
    <w:name w:val="Body Text Indent"/>
    <w:basedOn w:val="a"/>
    <w:link w:val="a4"/>
    <w:rsid w:val="00AE1356"/>
    <w:pPr>
      <w:spacing w:after="0" w:line="360" w:lineRule="auto"/>
      <w:ind w:firstLine="540"/>
      <w:jc w:val="both"/>
    </w:pPr>
    <w:rPr>
      <w:rFonts w:ascii="Times Roman AzLat" w:eastAsia="MS Mincho" w:hAnsi="Times Roman AzLat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E1356"/>
    <w:rPr>
      <w:rFonts w:ascii="Times Roman AzLat" w:eastAsia="MS Mincho" w:hAnsi="Times Roman AzLat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E1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AE135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1356"/>
  </w:style>
  <w:style w:type="paragraph" w:styleId="a8">
    <w:name w:val="Body Text"/>
    <w:basedOn w:val="a"/>
    <w:link w:val="a9"/>
    <w:rsid w:val="00AE135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AE135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E1356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E1356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AE1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AE135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E135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content">
    <w:name w:val="content"/>
    <w:basedOn w:val="a"/>
    <w:rsid w:val="00AE1356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d">
    <w:name w:val="Hyperlink"/>
    <w:rsid w:val="00AE1356"/>
    <w:rPr>
      <w:color w:val="0000FF"/>
      <w:u w:val="single"/>
    </w:rPr>
  </w:style>
  <w:style w:type="paragraph" w:customStyle="1" w:styleId="31">
    <w:name w:val="Основной текст 31"/>
    <w:basedOn w:val="a"/>
    <w:rsid w:val="00AE135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u-RU" w:eastAsia="ar-SA"/>
    </w:rPr>
  </w:style>
  <w:style w:type="paragraph" w:styleId="ae">
    <w:name w:val="List Paragraph"/>
    <w:basedOn w:val="a"/>
    <w:uiPriority w:val="99"/>
    <w:qFormat/>
    <w:rsid w:val="00AE135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m.zahid</dc:creator>
  <cp:lastModifiedBy>m.zahid</cp:lastModifiedBy>
  <cp:revision>1</cp:revision>
  <dcterms:created xsi:type="dcterms:W3CDTF">2015-11-20T13:08:00Z</dcterms:created>
  <dcterms:modified xsi:type="dcterms:W3CDTF">2015-11-20T13:20:00Z</dcterms:modified>
</cp:coreProperties>
</file>