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DA" w:rsidRPr="00552AD3" w:rsidRDefault="004145DA" w:rsidP="004145DA">
      <w:pPr>
        <w:pStyle w:val="NoSpacing"/>
        <w:spacing w:line="360" w:lineRule="auto"/>
        <w:jc w:val="center"/>
        <w:rPr>
          <w:rFonts w:ascii="Times New Roman" w:hAnsi="Times New Roman" w:cs="Times New Roman"/>
          <w:b/>
          <w:sz w:val="48"/>
          <w:szCs w:val="48"/>
          <w:lang w:val="az-Latn-AZ"/>
        </w:rPr>
      </w:pPr>
      <w:r w:rsidRPr="00552AD3">
        <w:rPr>
          <w:rFonts w:ascii="Times New Roman" w:hAnsi="Times New Roman" w:cs="Times New Roman"/>
          <w:b/>
          <w:sz w:val="48"/>
          <w:szCs w:val="48"/>
          <w:lang w:val="az-Latn-AZ"/>
        </w:rPr>
        <w:t>Azərbaycan Respublikası Təhsil Nazirliyi</w:t>
      </w:r>
    </w:p>
    <w:p w:rsidR="004145DA" w:rsidRPr="006B7E8B" w:rsidRDefault="004145DA" w:rsidP="004145DA">
      <w:pPr>
        <w:pStyle w:val="NoSpacing"/>
        <w:spacing w:line="360" w:lineRule="auto"/>
        <w:jc w:val="center"/>
        <w:rPr>
          <w:rFonts w:ascii="Times New Roman" w:hAnsi="Times New Roman" w:cs="Times New Roman"/>
          <w:b/>
          <w:sz w:val="56"/>
          <w:szCs w:val="56"/>
          <w:lang w:val="az-Latn-AZ"/>
        </w:rPr>
      </w:pPr>
    </w:p>
    <w:p w:rsidR="004145DA" w:rsidRPr="00552AD3" w:rsidRDefault="004145DA" w:rsidP="004145DA">
      <w:pPr>
        <w:pStyle w:val="NoSpacing"/>
        <w:spacing w:line="360" w:lineRule="auto"/>
        <w:jc w:val="center"/>
        <w:rPr>
          <w:rFonts w:ascii="Times New Roman" w:hAnsi="Times New Roman" w:cs="Times New Roman"/>
          <w:b/>
          <w:sz w:val="48"/>
          <w:szCs w:val="48"/>
          <w:lang w:val="az-Latn-AZ"/>
        </w:rPr>
      </w:pPr>
      <w:r w:rsidRPr="00552AD3">
        <w:rPr>
          <w:rFonts w:ascii="Times New Roman" w:hAnsi="Times New Roman" w:cs="Times New Roman"/>
          <w:b/>
          <w:sz w:val="48"/>
          <w:szCs w:val="48"/>
          <w:lang w:val="az-Latn-AZ"/>
        </w:rPr>
        <w:t>Devalvasiyanın bankların fəaliyyətinə</w:t>
      </w:r>
    </w:p>
    <w:p w:rsidR="004145DA" w:rsidRPr="00552AD3" w:rsidRDefault="004145DA" w:rsidP="004145DA">
      <w:pPr>
        <w:pStyle w:val="NoSpacing"/>
        <w:spacing w:line="360" w:lineRule="auto"/>
        <w:jc w:val="center"/>
        <w:rPr>
          <w:rFonts w:ascii="Times New Roman" w:hAnsi="Times New Roman" w:cs="Times New Roman"/>
          <w:b/>
          <w:sz w:val="48"/>
          <w:szCs w:val="48"/>
          <w:lang w:val="az-Latn-AZ"/>
        </w:rPr>
      </w:pPr>
      <w:bookmarkStart w:id="0" w:name="_GoBack"/>
      <w:bookmarkEnd w:id="0"/>
      <w:r w:rsidRPr="00552AD3">
        <w:rPr>
          <w:rFonts w:ascii="Times New Roman" w:hAnsi="Times New Roman" w:cs="Times New Roman"/>
          <w:b/>
          <w:sz w:val="48"/>
          <w:szCs w:val="48"/>
          <w:lang w:val="az-Latn-AZ"/>
        </w:rPr>
        <w:t>təsirinin təhlili</w:t>
      </w:r>
    </w:p>
    <w:p w:rsidR="004145DA" w:rsidRPr="006B7E8B" w:rsidRDefault="004145DA" w:rsidP="004145DA">
      <w:pPr>
        <w:pStyle w:val="NoSpacing"/>
        <w:spacing w:line="360" w:lineRule="auto"/>
        <w:jc w:val="center"/>
        <w:rPr>
          <w:rFonts w:ascii="Times New Roman" w:hAnsi="Times New Roman" w:cs="Times New Roman"/>
          <w:b/>
          <w:sz w:val="56"/>
          <w:szCs w:val="56"/>
          <w:lang w:val="az-Latn-AZ"/>
        </w:rPr>
      </w:pPr>
    </w:p>
    <w:p w:rsidR="00552AD3" w:rsidRPr="00552AD3" w:rsidRDefault="00552AD3" w:rsidP="00552AD3">
      <w:pPr>
        <w:pStyle w:val="NoSpacing"/>
        <w:spacing w:line="360" w:lineRule="auto"/>
        <w:jc w:val="center"/>
        <w:rPr>
          <w:rFonts w:ascii="Times New Roman" w:hAnsi="Times New Roman" w:cs="Times New Roman"/>
          <w:sz w:val="40"/>
          <w:szCs w:val="40"/>
          <w:lang w:val="az-Latn-AZ"/>
        </w:rPr>
      </w:pPr>
    </w:p>
    <w:p w:rsidR="004145DA" w:rsidRPr="00552AD3" w:rsidRDefault="004145DA" w:rsidP="00552AD3">
      <w:pPr>
        <w:pStyle w:val="NoSpacing"/>
        <w:spacing w:line="360" w:lineRule="auto"/>
        <w:jc w:val="center"/>
        <w:rPr>
          <w:rFonts w:ascii="Times New Roman" w:hAnsi="Times New Roman" w:cs="Times New Roman"/>
          <w:sz w:val="40"/>
          <w:szCs w:val="40"/>
          <w:lang w:val="az-Latn-AZ"/>
        </w:rPr>
      </w:pPr>
      <w:r w:rsidRPr="00552AD3">
        <w:rPr>
          <w:rFonts w:ascii="Times New Roman" w:hAnsi="Times New Roman" w:cs="Times New Roman"/>
          <w:sz w:val="40"/>
          <w:szCs w:val="40"/>
          <w:lang w:val="az-Latn-AZ"/>
        </w:rPr>
        <w:t>Humay Xalıqova</w:t>
      </w:r>
    </w:p>
    <w:p w:rsidR="000579E9" w:rsidRDefault="000579E9" w:rsidP="000579E9">
      <w:pPr>
        <w:pStyle w:val="NoSpacing"/>
        <w:spacing w:line="360" w:lineRule="auto"/>
        <w:jc w:val="center"/>
        <w:rPr>
          <w:rFonts w:ascii="Times New Roman" w:hAnsi="Times New Roman" w:cs="Times New Roman"/>
          <w:sz w:val="42"/>
          <w:szCs w:val="42"/>
          <w:lang w:val="az-Latn-AZ"/>
        </w:rPr>
      </w:pPr>
    </w:p>
    <w:p w:rsidR="004145DA" w:rsidRPr="000579E9" w:rsidRDefault="004145DA" w:rsidP="000579E9">
      <w:pPr>
        <w:pStyle w:val="NoSpacing"/>
        <w:spacing w:line="360" w:lineRule="auto"/>
        <w:jc w:val="center"/>
        <w:rPr>
          <w:rFonts w:ascii="Times New Roman" w:hAnsi="Times New Roman" w:cs="Times New Roman"/>
          <w:sz w:val="40"/>
          <w:szCs w:val="40"/>
          <w:lang w:val="az-Latn-AZ"/>
        </w:rPr>
      </w:pPr>
      <w:r w:rsidRPr="000579E9">
        <w:rPr>
          <w:rFonts w:ascii="Times New Roman" w:hAnsi="Times New Roman" w:cs="Times New Roman"/>
          <w:sz w:val="40"/>
          <w:szCs w:val="40"/>
          <w:lang w:val="az-Latn-AZ"/>
        </w:rPr>
        <w:t>UNEC SABAH</w:t>
      </w:r>
    </w:p>
    <w:p w:rsidR="004145DA" w:rsidRPr="000579E9" w:rsidRDefault="004145DA" w:rsidP="004145DA">
      <w:pPr>
        <w:pStyle w:val="NoSpacing"/>
        <w:spacing w:line="360" w:lineRule="auto"/>
        <w:jc w:val="center"/>
        <w:rPr>
          <w:rFonts w:ascii="Times New Roman" w:hAnsi="Times New Roman" w:cs="Times New Roman"/>
          <w:sz w:val="40"/>
          <w:szCs w:val="40"/>
          <w:lang w:val="az-Latn-AZ"/>
        </w:rPr>
      </w:pPr>
      <w:r w:rsidRPr="000579E9">
        <w:rPr>
          <w:rFonts w:ascii="Times New Roman" w:hAnsi="Times New Roman" w:cs="Times New Roman"/>
          <w:sz w:val="40"/>
          <w:szCs w:val="40"/>
          <w:lang w:val="az-Latn-AZ"/>
        </w:rPr>
        <w:t>Azərbaycan Dövlət İqtisad Universiteti</w:t>
      </w:r>
    </w:p>
    <w:p w:rsidR="004145DA" w:rsidRPr="000579E9" w:rsidRDefault="004145DA" w:rsidP="004145DA">
      <w:pPr>
        <w:pStyle w:val="NoSpacing"/>
        <w:spacing w:line="360" w:lineRule="auto"/>
        <w:jc w:val="center"/>
        <w:rPr>
          <w:rFonts w:ascii="Times New Roman" w:hAnsi="Times New Roman" w:cs="Times New Roman"/>
          <w:sz w:val="40"/>
          <w:szCs w:val="40"/>
          <w:lang w:val="az-Latn-AZ"/>
        </w:rPr>
      </w:pPr>
      <w:r w:rsidRPr="000579E9">
        <w:rPr>
          <w:rFonts w:ascii="Times New Roman" w:hAnsi="Times New Roman" w:cs="Times New Roman"/>
          <w:noProof/>
          <w:sz w:val="40"/>
          <w:szCs w:val="40"/>
          <w:lang w:val="en-US"/>
        </w:rPr>
        <w:drawing>
          <wp:inline distT="0" distB="0" distL="0" distR="0" wp14:anchorId="20B86B70" wp14:editId="5DFE7E87">
            <wp:extent cx="1582420" cy="68389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683895"/>
                    </a:xfrm>
                    <a:prstGeom prst="rect">
                      <a:avLst/>
                    </a:prstGeom>
                    <a:noFill/>
                    <a:ln>
                      <a:noFill/>
                    </a:ln>
                  </pic:spPr>
                </pic:pic>
              </a:graphicData>
            </a:graphic>
          </wp:inline>
        </w:drawing>
      </w:r>
    </w:p>
    <w:p w:rsidR="004145DA" w:rsidRPr="000579E9" w:rsidRDefault="004145DA" w:rsidP="004145DA">
      <w:pPr>
        <w:pStyle w:val="NoSpacing"/>
        <w:spacing w:line="360" w:lineRule="auto"/>
        <w:jc w:val="center"/>
        <w:rPr>
          <w:rFonts w:ascii="Times New Roman" w:hAnsi="Times New Roman" w:cs="Times New Roman"/>
          <w:sz w:val="40"/>
          <w:szCs w:val="40"/>
          <w:lang w:val="az-Latn-AZ"/>
        </w:rPr>
      </w:pPr>
      <w:r w:rsidRPr="000579E9">
        <w:rPr>
          <w:rFonts w:ascii="Times New Roman" w:hAnsi="Times New Roman" w:cs="Times New Roman"/>
          <w:noProof/>
          <w:sz w:val="40"/>
          <w:szCs w:val="40"/>
          <w:lang w:val="en-US"/>
        </w:rPr>
        <w:drawing>
          <wp:inline distT="0" distB="0" distL="0" distR="0" wp14:anchorId="0748EEE4" wp14:editId="14015F3F">
            <wp:extent cx="1296035" cy="1073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073150"/>
                    </a:xfrm>
                    <a:prstGeom prst="rect">
                      <a:avLst/>
                    </a:prstGeom>
                    <a:noFill/>
                    <a:ln>
                      <a:noFill/>
                    </a:ln>
                  </pic:spPr>
                </pic:pic>
              </a:graphicData>
            </a:graphic>
          </wp:inline>
        </w:drawing>
      </w:r>
    </w:p>
    <w:p w:rsidR="00552AD3" w:rsidRPr="000579E9" w:rsidRDefault="004145DA" w:rsidP="000579E9">
      <w:pPr>
        <w:pStyle w:val="NoSpacing"/>
        <w:spacing w:line="360" w:lineRule="auto"/>
        <w:jc w:val="center"/>
        <w:rPr>
          <w:rFonts w:ascii="Times New Roman" w:hAnsi="Times New Roman" w:cs="Times New Roman"/>
          <w:sz w:val="40"/>
          <w:szCs w:val="40"/>
          <w:lang w:val="az-Latn-AZ"/>
        </w:rPr>
      </w:pPr>
      <w:r w:rsidRPr="000579E9">
        <w:rPr>
          <w:rFonts w:ascii="Times New Roman" w:hAnsi="Times New Roman" w:cs="Times New Roman"/>
          <w:sz w:val="40"/>
          <w:szCs w:val="40"/>
          <w:lang w:val="az-Latn-AZ"/>
        </w:rPr>
        <w:t>İYUN 2019</w:t>
      </w:r>
    </w:p>
    <w:p w:rsidR="00552AD3" w:rsidRPr="004C586C" w:rsidRDefault="00552AD3" w:rsidP="00552AD3">
      <w:pPr>
        <w:pStyle w:val="NoSpacing"/>
        <w:spacing w:line="276" w:lineRule="auto"/>
        <w:rPr>
          <w:rFonts w:ascii="Times New Roman" w:hAnsi="Times New Roman" w:cs="Times New Roman"/>
          <w:b/>
          <w:i/>
          <w:sz w:val="36"/>
          <w:szCs w:val="36"/>
          <w:lang w:val="az-Latn-AZ"/>
        </w:rPr>
      </w:pPr>
      <w:r w:rsidRPr="004C586C">
        <w:rPr>
          <w:rFonts w:ascii="Times New Roman" w:hAnsi="Times New Roman" w:cs="Times New Roman"/>
          <w:b/>
          <w:i/>
          <w:sz w:val="36"/>
          <w:szCs w:val="36"/>
          <w:lang w:val="az-Latn-AZ"/>
        </w:rPr>
        <w:t>Təşəkkürnamə</w:t>
      </w:r>
    </w:p>
    <w:p w:rsidR="00552AD3" w:rsidRPr="004C586C" w:rsidRDefault="00552AD3" w:rsidP="00552AD3">
      <w:pPr>
        <w:pStyle w:val="NoSpacing"/>
        <w:spacing w:line="276" w:lineRule="auto"/>
        <w:rPr>
          <w:rFonts w:ascii="Times New Roman" w:hAnsi="Times New Roman" w:cs="Times New Roman"/>
          <w:i/>
          <w:sz w:val="36"/>
          <w:szCs w:val="36"/>
          <w:lang w:val="az-Latn-AZ"/>
        </w:rPr>
      </w:pPr>
      <w:r w:rsidRPr="004C586C">
        <w:rPr>
          <w:rFonts w:ascii="Times New Roman" w:hAnsi="Times New Roman" w:cs="Times New Roman"/>
          <w:i/>
          <w:sz w:val="36"/>
          <w:szCs w:val="36"/>
          <w:lang w:val="az-Latn-AZ"/>
        </w:rPr>
        <w:t xml:space="preserve">        Diplom işimin hazırlanıb ərsəyə</w:t>
      </w:r>
    </w:p>
    <w:p w:rsidR="00552AD3" w:rsidRPr="004C586C" w:rsidRDefault="00552AD3" w:rsidP="00552AD3">
      <w:pPr>
        <w:pStyle w:val="NoSpacing"/>
        <w:spacing w:line="276" w:lineRule="auto"/>
        <w:rPr>
          <w:rFonts w:ascii="Times New Roman" w:hAnsi="Times New Roman" w:cs="Times New Roman"/>
          <w:i/>
          <w:sz w:val="36"/>
          <w:szCs w:val="36"/>
          <w:lang w:val="az-Latn-AZ"/>
        </w:rPr>
      </w:pPr>
      <w:r w:rsidRPr="004C586C">
        <w:rPr>
          <w:rFonts w:ascii="Times New Roman" w:hAnsi="Times New Roman" w:cs="Times New Roman"/>
          <w:i/>
          <w:sz w:val="36"/>
          <w:szCs w:val="36"/>
          <w:lang w:val="az-Latn-AZ"/>
        </w:rPr>
        <w:t xml:space="preserve">  gəlməsində böyük əməyi keçmiş elmi rəhbərim</w:t>
      </w:r>
    </w:p>
    <w:p w:rsidR="00552AD3" w:rsidRPr="004C586C" w:rsidRDefault="00552AD3" w:rsidP="00552AD3">
      <w:pPr>
        <w:pStyle w:val="NoSpacing"/>
        <w:spacing w:line="276" w:lineRule="auto"/>
        <w:rPr>
          <w:rFonts w:ascii="Times New Roman" w:hAnsi="Times New Roman" w:cs="Times New Roman"/>
          <w:i/>
          <w:sz w:val="36"/>
          <w:szCs w:val="36"/>
          <w:lang w:val="az-Latn-AZ"/>
        </w:rPr>
      </w:pPr>
      <w:r w:rsidRPr="004C586C">
        <w:rPr>
          <w:rFonts w:ascii="Times New Roman" w:hAnsi="Times New Roman" w:cs="Times New Roman"/>
          <w:i/>
          <w:sz w:val="36"/>
          <w:szCs w:val="36"/>
          <w:lang w:val="az-Latn-AZ"/>
        </w:rPr>
        <w:t xml:space="preserve">       Şəhla müəllim Əlicanovaya dərin</w:t>
      </w:r>
    </w:p>
    <w:p w:rsidR="007B541D" w:rsidRPr="004C586C" w:rsidRDefault="00552AD3" w:rsidP="004C586C">
      <w:pPr>
        <w:pStyle w:val="NoSpacing"/>
        <w:spacing w:line="276" w:lineRule="auto"/>
        <w:rPr>
          <w:rFonts w:ascii="Times New Roman" w:hAnsi="Times New Roman" w:cs="Times New Roman"/>
          <w:i/>
          <w:sz w:val="36"/>
          <w:szCs w:val="36"/>
          <w:lang w:val="az-Latn-AZ"/>
        </w:rPr>
      </w:pPr>
      <w:r w:rsidRPr="004C586C">
        <w:rPr>
          <w:rFonts w:ascii="Times New Roman" w:hAnsi="Times New Roman" w:cs="Times New Roman"/>
          <w:i/>
          <w:sz w:val="36"/>
          <w:szCs w:val="36"/>
          <w:lang w:val="az-Latn-AZ"/>
        </w:rPr>
        <w:t>təşəkkürümü bildirirəm.</w:t>
      </w:r>
    </w:p>
    <w:sdt>
      <w:sdtPr>
        <w:rPr>
          <w:rFonts w:asciiTheme="minorHAnsi" w:eastAsiaTheme="minorHAnsi" w:hAnsiTheme="minorHAnsi" w:cstheme="minorBidi"/>
          <w:b w:val="0"/>
          <w:bCs w:val="0"/>
          <w:color w:val="auto"/>
          <w:sz w:val="22"/>
          <w:szCs w:val="22"/>
          <w:lang w:eastAsia="en-US"/>
        </w:rPr>
        <w:id w:val="196200762"/>
        <w:docPartObj>
          <w:docPartGallery w:val="Table of Contents"/>
          <w:docPartUnique/>
        </w:docPartObj>
      </w:sdtPr>
      <w:sdtEndPr/>
      <w:sdtContent>
        <w:p w:rsidR="004C586C" w:rsidRDefault="004C586C" w:rsidP="001277DC">
          <w:pPr>
            <w:pStyle w:val="TOCHeading"/>
            <w:jc w:val="center"/>
            <w:rPr>
              <w:rFonts w:asciiTheme="minorHAnsi" w:eastAsiaTheme="minorHAnsi" w:hAnsiTheme="minorHAnsi" w:cstheme="minorBidi"/>
              <w:b w:val="0"/>
              <w:bCs w:val="0"/>
              <w:color w:val="auto"/>
              <w:sz w:val="22"/>
              <w:szCs w:val="22"/>
              <w:lang w:eastAsia="en-US"/>
            </w:rPr>
            <w:sectPr w:rsidR="004C586C" w:rsidSect="001277DC">
              <w:footerReference w:type="default" r:id="rId10"/>
              <w:pgSz w:w="11906" w:h="16838"/>
              <w:pgMar w:top="1134" w:right="850" w:bottom="1134" w:left="1701" w:header="708" w:footer="708" w:gutter="0"/>
              <w:cols w:space="708"/>
              <w:titlePg/>
              <w:docGrid w:linePitch="360"/>
            </w:sectPr>
          </w:pPr>
        </w:p>
        <w:p w:rsidR="001277DC" w:rsidRPr="001277DC" w:rsidRDefault="001277DC" w:rsidP="001277DC">
          <w:pPr>
            <w:pStyle w:val="TOCHeading"/>
            <w:jc w:val="center"/>
            <w:rPr>
              <w:color w:val="auto"/>
              <w:lang w:val="az-Latn-AZ"/>
            </w:rPr>
          </w:pPr>
          <w:r w:rsidRPr="001277DC">
            <w:rPr>
              <w:color w:val="auto"/>
              <w:lang w:val="az-Latn-AZ"/>
            </w:rPr>
            <w:t>MÜNDƏRİCAT</w:t>
          </w:r>
        </w:p>
        <w:p w:rsidR="001277DC" w:rsidRPr="001277DC" w:rsidRDefault="001277DC"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8806913" w:history="1">
            <w:r w:rsidRPr="001277DC">
              <w:rPr>
                <w:rStyle w:val="Hyperlink"/>
                <w:rFonts w:ascii="Times New Roman" w:eastAsia="Times New Roman,Bold" w:hAnsi="Times New Roman" w:cs="Times New Roman"/>
                <w:noProof/>
                <w:sz w:val="28"/>
                <w:szCs w:val="28"/>
                <w:lang w:val="az-Latn-AZ"/>
              </w:rPr>
              <w:t>Giriş</w:t>
            </w:r>
            <w:r w:rsidRPr="001277DC">
              <w:rPr>
                <w:rFonts w:ascii="Times New Roman" w:hAnsi="Times New Roman" w:cs="Times New Roman"/>
                <w:noProof/>
                <w:webHidden/>
                <w:sz w:val="28"/>
                <w:szCs w:val="28"/>
              </w:rPr>
              <w:tab/>
            </w:r>
            <w:r w:rsidRPr="001277DC">
              <w:rPr>
                <w:rFonts w:ascii="Times New Roman" w:hAnsi="Times New Roman" w:cs="Times New Roman"/>
                <w:noProof/>
                <w:webHidden/>
                <w:sz w:val="28"/>
                <w:szCs w:val="28"/>
              </w:rPr>
              <w:fldChar w:fldCharType="begin"/>
            </w:r>
            <w:r w:rsidRPr="001277DC">
              <w:rPr>
                <w:rFonts w:ascii="Times New Roman" w:hAnsi="Times New Roman" w:cs="Times New Roman"/>
                <w:noProof/>
                <w:webHidden/>
                <w:sz w:val="28"/>
                <w:szCs w:val="28"/>
              </w:rPr>
              <w:instrText xml:space="preserve"> PAGEREF _Toc8806913 \h </w:instrText>
            </w:r>
            <w:r w:rsidRPr="001277DC">
              <w:rPr>
                <w:rFonts w:ascii="Times New Roman" w:hAnsi="Times New Roman" w:cs="Times New Roman"/>
                <w:noProof/>
                <w:webHidden/>
                <w:sz w:val="28"/>
                <w:szCs w:val="28"/>
              </w:rPr>
            </w:r>
            <w:r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2</w:t>
            </w:r>
            <w:r w:rsidRPr="001277DC">
              <w:rPr>
                <w:rFonts w:ascii="Times New Roman" w:hAnsi="Times New Roman" w:cs="Times New Roman"/>
                <w:noProof/>
                <w:webHidden/>
                <w:sz w:val="28"/>
                <w:szCs w:val="28"/>
              </w:rPr>
              <w:fldChar w:fldCharType="end"/>
            </w:r>
          </w:hyperlink>
        </w:p>
        <w:p w:rsidR="001277DC" w:rsidRPr="001277DC" w:rsidRDefault="004D7ED3"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14" w:history="1">
            <w:r w:rsidR="001277DC" w:rsidRPr="001277DC">
              <w:rPr>
                <w:rStyle w:val="Hyperlink"/>
                <w:rFonts w:ascii="Times New Roman" w:eastAsia="Times New Roman,Bold" w:hAnsi="Times New Roman" w:cs="Times New Roman"/>
                <w:noProof/>
                <w:sz w:val="28"/>
                <w:szCs w:val="28"/>
                <w:lang w:val="az-Latn-AZ"/>
              </w:rPr>
              <w:t>FƏSIL 1. DEVALVASIYANIN ANLAYIŞI, ONUN NƏZƏRI VƏ METODOLOJI ƏSASLARI</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_Toc8806914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4</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5" w:history="1">
            <w:r w:rsidR="001277DC" w:rsidRPr="001277DC">
              <w:rPr>
                <w:rStyle w:val="Hyperlink"/>
                <w:rFonts w:ascii="Times New Roman" w:hAnsi="Times New Roman" w:cs="Times New Roman"/>
                <w:noProof/>
                <w:sz w:val="28"/>
                <w:szCs w:val="28"/>
                <w:lang w:val="az-Latn-AZ"/>
              </w:rPr>
              <w:t>1.1.</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hAnsi="Times New Roman" w:cs="Times New Roman"/>
                <w:noProof/>
                <w:sz w:val="28"/>
                <w:szCs w:val="28"/>
                <w:lang w:val="az-Latn-AZ"/>
              </w:rPr>
              <w:t>Dev</w:t>
            </w:r>
            <w:r w:rsidR="00251BAA">
              <w:rPr>
                <w:rStyle w:val="Hyperlink"/>
                <w:rFonts w:ascii="Times New Roman" w:hAnsi="Times New Roman" w:cs="Times New Roman"/>
                <w:noProof/>
                <w:sz w:val="28"/>
                <w:szCs w:val="28"/>
                <w:lang w:val="az-Latn-AZ"/>
              </w:rPr>
              <w:t>a</w:t>
            </w:r>
            <w:r w:rsidR="001277DC" w:rsidRPr="001277DC">
              <w:rPr>
                <w:rStyle w:val="Hyperlink"/>
                <w:rFonts w:ascii="Times New Roman" w:hAnsi="Times New Roman" w:cs="Times New Roman"/>
                <w:noProof/>
                <w:sz w:val="28"/>
                <w:szCs w:val="28"/>
                <w:lang w:val="az-Latn-AZ"/>
              </w:rPr>
              <w:t>lvasiyanın anlayışı, mahiyyəti və yaranması səbəbləri</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_Toc8806915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4</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6" w:history="1">
            <w:r w:rsidR="001277DC" w:rsidRPr="001277DC">
              <w:rPr>
                <w:rStyle w:val="Hyperlink"/>
                <w:rFonts w:ascii="Times New Roman" w:hAnsi="Times New Roman" w:cs="Times New Roman"/>
                <w:noProof/>
                <w:sz w:val="28"/>
                <w:szCs w:val="28"/>
                <w:lang w:val="az-Latn-AZ"/>
              </w:rPr>
              <w:t>1.2.</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hAnsi="Times New Roman" w:cs="Times New Roman"/>
                <w:noProof/>
                <w:sz w:val="28"/>
                <w:szCs w:val="28"/>
                <w:lang w:val="az-Latn-AZ"/>
              </w:rPr>
              <w:t>Devalvasiya anlayışının nəzəri və əsasları</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_Toc8806916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6</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17" w:history="1">
            <w:r w:rsidR="001277DC" w:rsidRPr="001277DC">
              <w:rPr>
                <w:rStyle w:val="Hyperlink"/>
                <w:rFonts w:ascii="Times New Roman" w:eastAsia="Times New Roman,Bold" w:hAnsi="Times New Roman" w:cs="Times New Roman"/>
                <w:noProof/>
                <w:sz w:val="28"/>
                <w:szCs w:val="28"/>
                <w:lang w:val="en-US"/>
              </w:rPr>
              <w:t>FƏSIL 2. DEVALVASIYANIN BANK SEKTORUNA TƏSIRININ TƏHLILI</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_Toc8806917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14</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8" w:history="1">
            <w:r w:rsidR="001277DC" w:rsidRPr="001277DC">
              <w:rPr>
                <w:rStyle w:val="Hyperlink"/>
                <w:rFonts w:ascii="Times New Roman" w:hAnsi="Times New Roman" w:cs="Times New Roman"/>
                <w:noProof/>
                <w:sz w:val="28"/>
                <w:szCs w:val="28"/>
                <w:lang w:val="az-Latn-AZ"/>
              </w:rPr>
              <w:t>2.1.</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hAnsi="Times New Roman" w:cs="Times New Roman"/>
                <w:noProof/>
                <w:sz w:val="28"/>
                <w:szCs w:val="28"/>
                <w:lang w:val="az-Latn-AZ"/>
              </w:rPr>
              <w:t>Bankların dayanaqlığına devalvasiyanın təsiri və tənzimlənmə metodları</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_Toc8806918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14</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19" w:history="1">
            <w:r w:rsidR="001277DC" w:rsidRPr="001277DC">
              <w:rPr>
                <w:rStyle w:val="Hyperlink"/>
                <w:rFonts w:ascii="Times New Roman" w:eastAsia="MS Mincho" w:hAnsi="Times New Roman" w:cs="Times New Roman"/>
                <w:noProof/>
                <w:sz w:val="28"/>
                <w:szCs w:val="28"/>
                <w:lang w:val="az-Latn-AZ" w:eastAsia="ru-RU"/>
              </w:rPr>
              <w:t>2.2.</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eastAsia="MS Mincho" w:hAnsi="Times New Roman" w:cs="Times New Roman"/>
                <w:noProof/>
                <w:sz w:val="28"/>
                <w:szCs w:val="28"/>
                <w:lang w:val="az-Latn-AZ" w:eastAsia="ru-RU"/>
              </w:rPr>
              <w:t>Bank sektorunda devalvasiyanın diaqnostikası (Kapital və Access bank nümunəsində)</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_Toc8806919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17</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0" w:history="1">
            <w:r w:rsidR="001277DC" w:rsidRPr="001277DC">
              <w:rPr>
                <w:rStyle w:val="Hyperlink"/>
                <w:rFonts w:ascii="Times New Roman" w:hAnsi="Times New Roman" w:cs="Times New Roman"/>
                <w:noProof/>
                <w:sz w:val="28"/>
                <w:szCs w:val="28"/>
                <w:lang w:val="az-Latn-AZ"/>
              </w:rPr>
              <w:t>FƏSIL 3. DEVALVASIYA NƏTİCƏSINDƏ BANKLARIN FƏALİYYƏTİNDƏ YARANAN PROBLEMLƏRIN ARADAN QALDIRILMASI YOLLARI</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_Toc8806920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32</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21" w:history="1">
            <w:r w:rsidR="001277DC" w:rsidRPr="001277DC">
              <w:rPr>
                <w:rStyle w:val="Hyperlink"/>
                <w:rFonts w:ascii="Times New Roman" w:hAnsi="Times New Roman" w:cs="Times New Roman"/>
                <w:noProof/>
                <w:sz w:val="28"/>
                <w:szCs w:val="28"/>
                <w:lang w:val="az-Latn-AZ"/>
              </w:rPr>
              <w:t>3.1.</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hAnsi="Times New Roman" w:cs="Times New Roman"/>
                <w:noProof/>
                <w:sz w:val="28"/>
                <w:szCs w:val="28"/>
                <w:lang w:val="az-Latn-AZ"/>
              </w:rPr>
              <w:t>Devalvasiyanın bankların fəaliyyətinə təsirinin azaltma yolları və sağlamlaşdırma tədbirləri</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_Toc8806921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32</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2"/>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8806922" w:history="1">
            <w:r w:rsidR="001277DC" w:rsidRPr="001277DC">
              <w:rPr>
                <w:rStyle w:val="Hyperlink"/>
                <w:rFonts w:ascii="Times New Roman" w:hAnsi="Times New Roman" w:cs="Times New Roman"/>
                <w:noProof/>
                <w:sz w:val="28"/>
                <w:szCs w:val="28"/>
                <w:lang w:val="az-Latn-AZ"/>
              </w:rPr>
              <w:t>3.2.</w:t>
            </w:r>
            <w:r w:rsidR="001277DC" w:rsidRPr="001277DC">
              <w:rPr>
                <w:rFonts w:ascii="Times New Roman" w:eastAsiaTheme="minorEastAsia" w:hAnsi="Times New Roman" w:cs="Times New Roman"/>
                <w:noProof/>
                <w:sz w:val="28"/>
                <w:szCs w:val="28"/>
                <w:lang w:eastAsia="ru-RU"/>
              </w:rPr>
              <w:tab/>
            </w:r>
            <w:r w:rsidR="001277DC" w:rsidRPr="001277DC">
              <w:rPr>
                <w:rStyle w:val="Hyperlink"/>
                <w:rFonts w:ascii="Times New Roman" w:hAnsi="Times New Roman" w:cs="Times New Roman"/>
                <w:noProof/>
                <w:sz w:val="28"/>
                <w:szCs w:val="28"/>
                <w:lang w:val="az-Latn-AZ"/>
              </w:rPr>
              <w:t>Azərbaycanın Mərkəzi Bankının antiböhran strategiyası və dünya təcrübəsi</w:t>
            </w:r>
            <w:r w:rsidR="001277DC" w:rsidRPr="001277DC">
              <w:rPr>
                <w:rFonts w:ascii="Times New Roman" w:hAnsi="Times New Roman" w:cs="Times New Roman"/>
                <w:noProof/>
                <w:webHidden/>
                <w:sz w:val="28"/>
                <w:szCs w:val="28"/>
              </w:rPr>
              <w:tab/>
            </w:r>
            <w:r w:rsidR="001277DC">
              <w:rPr>
                <w:rFonts w:ascii="Times New Roman" w:hAnsi="Times New Roman" w:cs="Times New Roman"/>
                <w:noProof/>
                <w:webHidden/>
                <w:sz w:val="28"/>
                <w:szCs w:val="28"/>
                <w:lang w:val="az-Latn-AZ"/>
              </w:rPr>
              <w:t>....................................................................................................................</w:t>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_Toc8806922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43</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3" w:history="1">
            <w:r w:rsidR="001277DC" w:rsidRPr="001277DC">
              <w:rPr>
                <w:rStyle w:val="Hyperlink"/>
                <w:rFonts w:ascii="Times New Roman" w:hAnsi="Times New Roman" w:cs="Times New Roman"/>
                <w:noProof/>
                <w:sz w:val="28"/>
                <w:szCs w:val="28"/>
                <w:lang w:val="az-Latn-AZ"/>
              </w:rPr>
              <w:t>Nəticə</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_Toc8806923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49</w:t>
            </w:r>
            <w:r w:rsidR="001277DC" w:rsidRPr="001277DC">
              <w:rPr>
                <w:rFonts w:ascii="Times New Roman" w:hAnsi="Times New Roman" w:cs="Times New Roman"/>
                <w:noProof/>
                <w:webHidden/>
                <w:sz w:val="28"/>
                <w:szCs w:val="28"/>
              </w:rPr>
              <w:fldChar w:fldCharType="end"/>
            </w:r>
          </w:hyperlink>
        </w:p>
        <w:p w:rsidR="001277DC" w:rsidRPr="001277DC" w:rsidRDefault="004D7ED3" w:rsidP="001277DC">
          <w:pPr>
            <w:pStyle w:val="TOC1"/>
            <w:tabs>
              <w:tab w:val="right" w:leader="dot" w:pos="9345"/>
            </w:tabs>
            <w:spacing w:line="360" w:lineRule="auto"/>
            <w:rPr>
              <w:rFonts w:ascii="Times New Roman" w:eastAsiaTheme="minorEastAsia" w:hAnsi="Times New Roman" w:cs="Times New Roman"/>
              <w:noProof/>
              <w:sz w:val="28"/>
              <w:szCs w:val="28"/>
              <w:lang w:eastAsia="ru-RU"/>
            </w:rPr>
          </w:pPr>
          <w:hyperlink w:anchor="_Toc8806924" w:history="1">
            <w:r w:rsidR="001277DC" w:rsidRPr="001277DC">
              <w:rPr>
                <w:rStyle w:val="Hyperlink"/>
                <w:rFonts w:ascii="Times New Roman" w:hAnsi="Times New Roman" w:cs="Times New Roman"/>
                <w:noProof/>
                <w:sz w:val="28"/>
                <w:szCs w:val="28"/>
                <w:lang w:val="az-Latn-AZ"/>
              </w:rPr>
              <w:t>İstifadə olunmuş ədəbiyyat siyahısı</w:t>
            </w:r>
            <w:r w:rsidR="001277DC" w:rsidRPr="001277DC">
              <w:rPr>
                <w:rFonts w:ascii="Times New Roman" w:hAnsi="Times New Roman" w:cs="Times New Roman"/>
                <w:noProof/>
                <w:webHidden/>
                <w:sz w:val="28"/>
                <w:szCs w:val="28"/>
              </w:rPr>
              <w:tab/>
            </w:r>
            <w:r w:rsidR="001277DC" w:rsidRPr="001277DC">
              <w:rPr>
                <w:rFonts w:ascii="Times New Roman" w:hAnsi="Times New Roman" w:cs="Times New Roman"/>
                <w:noProof/>
                <w:webHidden/>
                <w:sz w:val="28"/>
                <w:szCs w:val="28"/>
              </w:rPr>
              <w:fldChar w:fldCharType="begin"/>
            </w:r>
            <w:r w:rsidR="001277DC" w:rsidRPr="001277DC">
              <w:rPr>
                <w:rFonts w:ascii="Times New Roman" w:hAnsi="Times New Roman" w:cs="Times New Roman"/>
                <w:noProof/>
                <w:webHidden/>
                <w:sz w:val="28"/>
                <w:szCs w:val="28"/>
              </w:rPr>
              <w:instrText xml:space="preserve"> PAGEREF _Toc8806924 \h </w:instrText>
            </w:r>
            <w:r w:rsidR="001277DC" w:rsidRPr="001277DC">
              <w:rPr>
                <w:rFonts w:ascii="Times New Roman" w:hAnsi="Times New Roman" w:cs="Times New Roman"/>
                <w:noProof/>
                <w:webHidden/>
                <w:sz w:val="28"/>
                <w:szCs w:val="28"/>
              </w:rPr>
            </w:r>
            <w:r w:rsidR="001277DC" w:rsidRPr="001277DC">
              <w:rPr>
                <w:rFonts w:ascii="Times New Roman" w:hAnsi="Times New Roman" w:cs="Times New Roman"/>
                <w:noProof/>
                <w:webHidden/>
                <w:sz w:val="28"/>
                <w:szCs w:val="28"/>
              </w:rPr>
              <w:fldChar w:fldCharType="separate"/>
            </w:r>
            <w:r w:rsidR="004C586C">
              <w:rPr>
                <w:rFonts w:ascii="Times New Roman" w:hAnsi="Times New Roman" w:cs="Times New Roman"/>
                <w:noProof/>
                <w:webHidden/>
                <w:sz w:val="28"/>
                <w:szCs w:val="28"/>
              </w:rPr>
              <w:t>51</w:t>
            </w:r>
            <w:r w:rsidR="001277DC" w:rsidRPr="001277DC">
              <w:rPr>
                <w:rFonts w:ascii="Times New Roman" w:hAnsi="Times New Roman" w:cs="Times New Roman"/>
                <w:noProof/>
                <w:webHidden/>
                <w:sz w:val="28"/>
                <w:szCs w:val="28"/>
              </w:rPr>
              <w:fldChar w:fldCharType="end"/>
            </w:r>
          </w:hyperlink>
        </w:p>
        <w:p w:rsidR="001277DC" w:rsidRDefault="001277DC">
          <w:r>
            <w:rPr>
              <w:b/>
              <w:bCs/>
            </w:rPr>
            <w:fldChar w:fldCharType="end"/>
          </w:r>
        </w:p>
      </w:sdtContent>
    </w:sdt>
    <w:p w:rsidR="007B541D" w:rsidRDefault="007B541D"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1277DC" w:rsidRDefault="001277DC" w:rsidP="00473D1F">
      <w:pPr>
        <w:pStyle w:val="ListParagraph"/>
        <w:autoSpaceDE w:val="0"/>
        <w:autoSpaceDN w:val="0"/>
        <w:adjustRightInd w:val="0"/>
        <w:spacing w:after="0" w:line="360" w:lineRule="auto"/>
        <w:ind w:left="1080"/>
        <w:jc w:val="both"/>
        <w:rPr>
          <w:rFonts w:ascii="Times New Roman" w:hAnsi="Times New Roman" w:cs="Times New Roman"/>
          <w:sz w:val="28"/>
          <w:szCs w:val="28"/>
          <w:lang w:val="az-Latn-AZ"/>
        </w:rPr>
      </w:pPr>
    </w:p>
    <w:p w:rsidR="00AB140E" w:rsidRPr="006B7E8B" w:rsidRDefault="00AB140E" w:rsidP="006B7E8B">
      <w:pPr>
        <w:pStyle w:val="Heading1"/>
        <w:rPr>
          <w:rFonts w:ascii="Times New Roman" w:eastAsia="Times New Roman,Bold" w:hAnsi="Times New Roman" w:cs="Times New Roman"/>
          <w:lang w:val="az-Latn-AZ"/>
        </w:rPr>
      </w:pPr>
      <w:bookmarkStart w:id="1" w:name="_Toc8806570"/>
      <w:bookmarkStart w:id="2" w:name="_Toc8806913"/>
      <w:r w:rsidRPr="006B7E8B">
        <w:rPr>
          <w:rFonts w:ascii="Times New Roman" w:eastAsia="Times New Roman,Bold" w:hAnsi="Times New Roman" w:cs="Times New Roman"/>
          <w:lang w:val="az-Latn-AZ"/>
        </w:rPr>
        <w:t>Giri</w:t>
      </w:r>
      <w:r w:rsidR="007F7AC2" w:rsidRPr="006B7E8B">
        <w:rPr>
          <w:rFonts w:ascii="Times New Roman" w:eastAsia="Times New Roman,Bold" w:hAnsi="Times New Roman" w:cs="Times New Roman"/>
          <w:lang w:val="az-Latn-AZ"/>
        </w:rPr>
        <w:t>ş</w:t>
      </w:r>
      <w:bookmarkEnd w:id="1"/>
      <w:bookmarkEnd w:id="2"/>
      <w:r w:rsidR="00A539F2" w:rsidRPr="006B7E8B">
        <w:rPr>
          <w:rFonts w:ascii="Times New Roman" w:eastAsia="Times New Roman,Bold" w:hAnsi="Times New Roman" w:cs="Times New Roman"/>
          <w:lang w:val="az-Latn-AZ"/>
        </w:rPr>
        <w:t xml:space="preserve"> </w:t>
      </w:r>
    </w:p>
    <w:p w:rsidR="00982C0C" w:rsidRPr="006B7E8B" w:rsidRDefault="00AB140E"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
          <w:bCs/>
          <w:sz w:val="28"/>
          <w:szCs w:val="28"/>
          <w:lang w:val="az-Latn-AZ"/>
        </w:rPr>
        <w:t>Mövzunun aktuallığı.</w:t>
      </w:r>
      <w:r w:rsidRPr="006B7E8B">
        <w:rPr>
          <w:rFonts w:ascii="Times New Roman" w:eastAsia="Times New Roman,Bold" w:hAnsi="Times New Roman" w:cs="Times New Roman"/>
          <w:bCs/>
          <w:sz w:val="28"/>
          <w:szCs w:val="28"/>
          <w:lang w:val="az-Latn-AZ"/>
        </w:rPr>
        <w:t xml:space="preserve"> </w:t>
      </w:r>
      <w:r w:rsidR="00493F6A" w:rsidRPr="006B7E8B">
        <w:rPr>
          <w:rFonts w:ascii="Times New Roman" w:eastAsia="Times New Roman,Bold" w:hAnsi="Times New Roman" w:cs="Times New Roman"/>
          <w:bCs/>
          <w:sz w:val="28"/>
          <w:szCs w:val="28"/>
          <w:lang w:val="az-Latn-AZ"/>
        </w:rPr>
        <w:t>Hazırkı dövrün</w:t>
      </w:r>
      <w:r w:rsidRPr="006B7E8B">
        <w:rPr>
          <w:rFonts w:ascii="Times New Roman" w:eastAsia="Times New Roman,Bold" w:hAnsi="Times New Roman" w:cs="Times New Roman"/>
          <w:bCs/>
          <w:sz w:val="28"/>
          <w:szCs w:val="28"/>
          <w:lang w:val="az-Latn-AZ"/>
        </w:rPr>
        <w:t xml:space="preserve"> bank sistemi </w:t>
      </w:r>
      <w:r w:rsidR="00493F6A" w:rsidRPr="006B7E8B">
        <w:rPr>
          <w:rFonts w:ascii="Times New Roman" w:eastAsia="Times New Roman,Bold" w:hAnsi="Times New Roman" w:cs="Times New Roman"/>
          <w:bCs/>
          <w:sz w:val="28"/>
          <w:szCs w:val="28"/>
          <w:lang w:val="az-Latn-AZ"/>
        </w:rPr>
        <w:t xml:space="preserve">hər bir </w:t>
      </w:r>
      <w:r w:rsidRPr="006B7E8B">
        <w:rPr>
          <w:rFonts w:ascii="Times New Roman" w:eastAsia="Times New Roman,Bold" w:hAnsi="Times New Roman" w:cs="Times New Roman"/>
          <w:bCs/>
          <w:sz w:val="28"/>
          <w:szCs w:val="28"/>
          <w:lang w:val="az-Latn-AZ"/>
        </w:rPr>
        <w:t xml:space="preserve"> ölkənin milli </w:t>
      </w:r>
      <w:r w:rsidR="00493F6A" w:rsidRPr="006B7E8B">
        <w:rPr>
          <w:rFonts w:ascii="Times New Roman" w:eastAsia="Times New Roman,Bold" w:hAnsi="Times New Roman" w:cs="Times New Roman"/>
          <w:bCs/>
          <w:sz w:val="28"/>
          <w:szCs w:val="28"/>
          <w:lang w:val="az-Latn-AZ"/>
        </w:rPr>
        <w:t>sənayesinin</w:t>
      </w:r>
      <w:r w:rsidRPr="006B7E8B">
        <w:rPr>
          <w:rFonts w:ascii="Times New Roman" w:eastAsia="Times New Roman,Bold" w:hAnsi="Times New Roman" w:cs="Times New Roman"/>
          <w:bCs/>
          <w:sz w:val="28"/>
          <w:szCs w:val="28"/>
          <w:lang w:val="az-Latn-AZ"/>
        </w:rPr>
        <w:t xml:space="preserve"> ən </w:t>
      </w:r>
      <w:r w:rsidR="00493F6A" w:rsidRPr="006B7E8B">
        <w:rPr>
          <w:rFonts w:ascii="Times New Roman" w:eastAsia="Times New Roman,Bold" w:hAnsi="Times New Roman" w:cs="Times New Roman"/>
          <w:bCs/>
          <w:sz w:val="28"/>
          <w:szCs w:val="28"/>
          <w:lang w:val="az-Latn-AZ"/>
        </w:rPr>
        <w:t>mühüm</w:t>
      </w:r>
      <w:r w:rsidRPr="006B7E8B">
        <w:rPr>
          <w:rFonts w:ascii="Times New Roman" w:eastAsia="Times New Roman,Bold" w:hAnsi="Times New Roman" w:cs="Times New Roman"/>
          <w:bCs/>
          <w:sz w:val="28"/>
          <w:szCs w:val="28"/>
          <w:lang w:val="az-Latn-AZ"/>
        </w:rPr>
        <w:t xml:space="preserve"> </w:t>
      </w:r>
      <w:r w:rsidR="00493F6A" w:rsidRPr="006B7E8B">
        <w:rPr>
          <w:rFonts w:ascii="Times New Roman" w:eastAsia="Times New Roman,Bold" w:hAnsi="Times New Roman" w:cs="Times New Roman"/>
          <w:bCs/>
          <w:sz w:val="28"/>
          <w:szCs w:val="28"/>
          <w:lang w:val="az-Latn-AZ"/>
        </w:rPr>
        <w:t xml:space="preserve">sahələrindən </w:t>
      </w:r>
      <w:r w:rsidRPr="006B7E8B">
        <w:rPr>
          <w:rFonts w:ascii="Times New Roman" w:eastAsia="Times New Roman,Bold" w:hAnsi="Times New Roman" w:cs="Times New Roman"/>
          <w:bCs/>
          <w:sz w:val="28"/>
          <w:szCs w:val="28"/>
          <w:lang w:val="az-Latn-AZ"/>
        </w:rPr>
        <w:t>biri</w:t>
      </w:r>
      <w:r w:rsidR="00493F6A" w:rsidRPr="006B7E8B">
        <w:rPr>
          <w:rFonts w:ascii="Times New Roman" w:eastAsia="Times New Roman,Bold" w:hAnsi="Times New Roman" w:cs="Times New Roman"/>
          <w:bCs/>
          <w:sz w:val="28"/>
          <w:szCs w:val="28"/>
          <w:lang w:val="az-Latn-AZ"/>
        </w:rPr>
        <w:t xml:space="preserve"> hesab olunur</w:t>
      </w:r>
      <w:r w:rsidRPr="006B7E8B">
        <w:rPr>
          <w:rFonts w:ascii="Times New Roman" w:eastAsia="Times New Roman,Bold" w:hAnsi="Times New Roman" w:cs="Times New Roman"/>
          <w:bCs/>
          <w:sz w:val="28"/>
          <w:szCs w:val="28"/>
          <w:lang w:val="az-Latn-AZ"/>
        </w:rPr>
        <w:t xml:space="preserve">. </w:t>
      </w:r>
      <w:r w:rsidR="00493F6A" w:rsidRPr="006B7E8B">
        <w:rPr>
          <w:rFonts w:ascii="Times New Roman" w:eastAsia="Times New Roman,Bold" w:hAnsi="Times New Roman" w:cs="Times New Roman"/>
          <w:bCs/>
          <w:sz w:val="28"/>
          <w:szCs w:val="28"/>
          <w:lang w:val="az-Latn-AZ"/>
        </w:rPr>
        <w:t xml:space="preserve">Keçid dövrü yaşayan </w:t>
      </w:r>
      <w:r w:rsidRPr="006B7E8B">
        <w:rPr>
          <w:rFonts w:ascii="Times New Roman" w:eastAsia="Times New Roman,Bold" w:hAnsi="Times New Roman" w:cs="Times New Roman"/>
          <w:bCs/>
          <w:sz w:val="28"/>
          <w:szCs w:val="28"/>
          <w:lang w:val="az-Latn-AZ"/>
        </w:rPr>
        <w:t>Azə</w:t>
      </w:r>
      <w:r w:rsidR="00493F6A" w:rsidRPr="006B7E8B">
        <w:rPr>
          <w:rFonts w:ascii="Times New Roman" w:eastAsia="Times New Roman,Bold" w:hAnsi="Times New Roman" w:cs="Times New Roman"/>
          <w:bCs/>
          <w:sz w:val="28"/>
          <w:szCs w:val="28"/>
          <w:lang w:val="az-Latn-AZ"/>
        </w:rPr>
        <w:t>rbaycanda</w:t>
      </w:r>
      <w:r w:rsidRPr="006B7E8B">
        <w:rPr>
          <w:rFonts w:ascii="Times New Roman" w:eastAsia="Times New Roman,Bold" w:hAnsi="Times New Roman" w:cs="Times New Roman"/>
          <w:bCs/>
          <w:sz w:val="28"/>
          <w:szCs w:val="28"/>
          <w:lang w:val="az-Latn-AZ"/>
        </w:rPr>
        <w:t xml:space="preserve"> </w:t>
      </w:r>
      <w:r w:rsidR="00493F6A" w:rsidRPr="006B7E8B">
        <w:rPr>
          <w:rFonts w:ascii="Times New Roman" w:eastAsia="Times New Roman,Bold" w:hAnsi="Times New Roman" w:cs="Times New Roman"/>
          <w:bCs/>
          <w:sz w:val="28"/>
          <w:szCs w:val="28"/>
          <w:lang w:val="az-Latn-AZ"/>
        </w:rPr>
        <w:t xml:space="preserve">da </w:t>
      </w:r>
      <w:r w:rsidRPr="006B7E8B">
        <w:rPr>
          <w:rFonts w:ascii="Times New Roman" w:eastAsia="Times New Roman,Bold" w:hAnsi="Times New Roman" w:cs="Times New Roman"/>
          <w:bCs/>
          <w:sz w:val="28"/>
          <w:szCs w:val="28"/>
          <w:lang w:val="az-Latn-AZ"/>
        </w:rPr>
        <w:t xml:space="preserve">bank sistemi </w:t>
      </w:r>
      <w:r w:rsidR="00493F6A" w:rsidRPr="006B7E8B">
        <w:rPr>
          <w:rFonts w:ascii="Times New Roman" w:eastAsia="Times New Roman,Bold" w:hAnsi="Times New Roman" w:cs="Times New Roman"/>
          <w:bCs/>
          <w:sz w:val="28"/>
          <w:szCs w:val="28"/>
          <w:lang w:val="az-Latn-AZ"/>
        </w:rPr>
        <w:t xml:space="preserve">bir qədər </w:t>
      </w:r>
      <w:r w:rsidRPr="006B7E8B">
        <w:rPr>
          <w:rFonts w:ascii="Times New Roman" w:eastAsia="Times New Roman,Bold" w:hAnsi="Times New Roman" w:cs="Times New Roman"/>
          <w:bCs/>
          <w:sz w:val="28"/>
          <w:szCs w:val="28"/>
          <w:lang w:val="az-Latn-AZ"/>
        </w:rPr>
        <w:t>dəyi</w:t>
      </w:r>
      <w:r w:rsidR="007F7AC2" w:rsidRPr="006B7E8B">
        <w:rPr>
          <w:rFonts w:ascii="Times New Roman" w:eastAsia="Times New Roman,Bold" w:hAnsi="Times New Roman" w:cs="Times New Roman"/>
          <w:bCs/>
          <w:sz w:val="28"/>
          <w:szCs w:val="28"/>
          <w:lang w:val="az-Latn-AZ"/>
        </w:rPr>
        <w:t>ş</w:t>
      </w:r>
      <w:r w:rsidRPr="006B7E8B">
        <w:rPr>
          <w:rFonts w:ascii="Times New Roman" w:eastAsia="Times New Roman,Bold" w:hAnsi="Times New Roman" w:cs="Times New Roman"/>
          <w:bCs/>
          <w:sz w:val="28"/>
          <w:szCs w:val="28"/>
          <w:lang w:val="az-Latn-AZ"/>
        </w:rPr>
        <w:t>iklər</w:t>
      </w:r>
      <w:r w:rsidR="00493F6A" w:rsidRPr="006B7E8B">
        <w:rPr>
          <w:rFonts w:ascii="Times New Roman" w:eastAsia="Times New Roman,Bold" w:hAnsi="Times New Roman" w:cs="Times New Roman"/>
          <w:bCs/>
          <w:sz w:val="28"/>
          <w:szCs w:val="28"/>
          <w:lang w:val="az-Latn-AZ"/>
        </w:rPr>
        <w:t>l</w:t>
      </w:r>
      <w:r w:rsidRPr="006B7E8B">
        <w:rPr>
          <w:rFonts w:ascii="Times New Roman" w:eastAsia="Times New Roman,Bold" w:hAnsi="Times New Roman" w:cs="Times New Roman"/>
          <w:bCs/>
          <w:sz w:val="28"/>
          <w:szCs w:val="28"/>
          <w:lang w:val="az-Latn-AZ"/>
        </w:rPr>
        <w:t>ə</w:t>
      </w:r>
      <w:r w:rsidR="00493F6A" w:rsidRPr="006B7E8B">
        <w:rPr>
          <w:rFonts w:ascii="Times New Roman" w:eastAsia="Times New Roman,Bold" w:hAnsi="Times New Roman" w:cs="Times New Roman"/>
          <w:bCs/>
          <w:sz w:val="28"/>
          <w:szCs w:val="28"/>
          <w:lang w:val="az-Latn-AZ"/>
        </w:rPr>
        <w:t xml:space="preserve"> üzləşməyə məcbur oldu</w:t>
      </w:r>
      <w:r w:rsidRPr="006B7E8B">
        <w:rPr>
          <w:rFonts w:ascii="Times New Roman" w:eastAsia="Times New Roman,Bold" w:hAnsi="Times New Roman" w:cs="Times New Roman"/>
          <w:bCs/>
          <w:sz w:val="28"/>
          <w:szCs w:val="28"/>
          <w:lang w:val="az-Latn-AZ"/>
        </w:rPr>
        <w:t xml:space="preserve">. Bank sisteminin bütün </w:t>
      </w:r>
      <w:r w:rsidR="00493F6A" w:rsidRPr="006B7E8B">
        <w:rPr>
          <w:rFonts w:ascii="Times New Roman" w:eastAsia="Times New Roman,Bold" w:hAnsi="Times New Roman" w:cs="Times New Roman"/>
          <w:bCs/>
          <w:sz w:val="28"/>
          <w:szCs w:val="28"/>
          <w:lang w:val="az-Latn-AZ"/>
        </w:rPr>
        <w:t>sektorları</w:t>
      </w:r>
      <w:r w:rsidRPr="006B7E8B">
        <w:rPr>
          <w:rFonts w:ascii="Times New Roman" w:eastAsia="Times New Roman,Bold" w:hAnsi="Times New Roman" w:cs="Times New Roman"/>
          <w:bCs/>
          <w:sz w:val="28"/>
          <w:szCs w:val="28"/>
          <w:lang w:val="az-Latn-AZ"/>
        </w:rPr>
        <w:t xml:space="preserve"> </w:t>
      </w:r>
      <w:r w:rsidR="00493F6A" w:rsidRPr="006B7E8B">
        <w:rPr>
          <w:rFonts w:ascii="Times New Roman" w:eastAsia="Times New Roman,Bold" w:hAnsi="Times New Roman" w:cs="Times New Roman"/>
          <w:bCs/>
          <w:sz w:val="28"/>
          <w:szCs w:val="28"/>
          <w:lang w:val="az-Latn-AZ"/>
        </w:rPr>
        <w:t>dəyişdirilmişdir</w:t>
      </w:r>
      <w:r w:rsidRPr="006B7E8B">
        <w:rPr>
          <w:rFonts w:ascii="Times New Roman" w:eastAsia="Times New Roman,Bold" w:hAnsi="Times New Roman" w:cs="Times New Roman"/>
          <w:bCs/>
          <w:sz w:val="28"/>
          <w:szCs w:val="28"/>
          <w:lang w:val="az-Latn-AZ"/>
        </w:rPr>
        <w:t xml:space="preserve">. Maliyyə bazarının </w:t>
      </w:r>
      <w:r w:rsidR="00493F6A" w:rsidRPr="006B7E8B">
        <w:rPr>
          <w:rFonts w:ascii="Times New Roman" w:eastAsia="Times New Roman,Bold" w:hAnsi="Times New Roman" w:cs="Times New Roman"/>
          <w:bCs/>
          <w:sz w:val="28"/>
          <w:szCs w:val="28"/>
          <w:lang w:val="az-Latn-AZ"/>
        </w:rPr>
        <w:t>formalaşdırılması</w:t>
      </w:r>
      <w:r w:rsidRPr="006B7E8B">
        <w:rPr>
          <w:rFonts w:ascii="Times New Roman" w:eastAsia="Times New Roman,Bold" w:hAnsi="Times New Roman" w:cs="Times New Roman"/>
          <w:bCs/>
          <w:sz w:val="28"/>
          <w:szCs w:val="28"/>
          <w:lang w:val="az-Latn-AZ"/>
        </w:rPr>
        <w:t xml:space="preserve"> milli təsə</w:t>
      </w:r>
      <w:r w:rsidR="00A539F2" w:rsidRPr="006B7E8B">
        <w:rPr>
          <w:rFonts w:ascii="Times New Roman" w:eastAsia="Times New Roman,Bold" w:hAnsi="Times New Roman" w:cs="Times New Roman"/>
          <w:bCs/>
          <w:sz w:val="28"/>
          <w:szCs w:val="28"/>
          <w:lang w:val="az-Latn-AZ"/>
        </w:rPr>
        <w:t>r</w:t>
      </w:r>
      <w:r w:rsidRPr="006B7E8B">
        <w:rPr>
          <w:rFonts w:ascii="Times New Roman" w:eastAsia="Times New Roman,Bold" w:hAnsi="Times New Roman" w:cs="Times New Roman"/>
          <w:bCs/>
          <w:sz w:val="28"/>
          <w:szCs w:val="28"/>
          <w:lang w:val="az-Latn-AZ"/>
        </w:rPr>
        <w:t xml:space="preserve">rüfatın idarə </w:t>
      </w:r>
      <w:r w:rsidR="00493F6A" w:rsidRPr="006B7E8B">
        <w:rPr>
          <w:rFonts w:ascii="Times New Roman" w:eastAsia="Times New Roman,Bold" w:hAnsi="Times New Roman" w:cs="Times New Roman"/>
          <w:bCs/>
          <w:sz w:val="28"/>
          <w:szCs w:val="28"/>
          <w:lang w:val="az-Latn-AZ"/>
        </w:rPr>
        <w:t>edilməsində</w:t>
      </w:r>
      <w:r w:rsidRPr="006B7E8B">
        <w:rPr>
          <w:rFonts w:ascii="Times New Roman" w:eastAsia="Times New Roman,Bold" w:hAnsi="Times New Roman" w:cs="Times New Roman"/>
          <w:bCs/>
          <w:sz w:val="28"/>
          <w:szCs w:val="28"/>
          <w:lang w:val="az-Latn-AZ"/>
        </w:rPr>
        <w:t xml:space="preserve"> kredit institutlarının </w:t>
      </w:r>
      <w:r w:rsidR="00982C0C" w:rsidRPr="006B7E8B">
        <w:rPr>
          <w:rFonts w:ascii="Times New Roman" w:eastAsia="Times New Roman,Bold" w:hAnsi="Times New Roman" w:cs="Times New Roman"/>
          <w:bCs/>
          <w:sz w:val="28"/>
          <w:szCs w:val="28"/>
          <w:lang w:val="az-Latn-AZ"/>
        </w:rPr>
        <w:t>yerinin</w:t>
      </w:r>
      <w:r w:rsidRPr="006B7E8B">
        <w:rPr>
          <w:rFonts w:ascii="Times New Roman" w:eastAsia="Times New Roman,Bold" w:hAnsi="Times New Roman" w:cs="Times New Roman"/>
          <w:bCs/>
          <w:sz w:val="28"/>
          <w:szCs w:val="28"/>
          <w:lang w:val="az-Latn-AZ"/>
        </w:rPr>
        <w:t xml:space="preserve"> prinsipial olaraq </w:t>
      </w:r>
      <w:r w:rsidR="00982C0C" w:rsidRPr="006B7E8B">
        <w:rPr>
          <w:rFonts w:ascii="Times New Roman" w:eastAsia="Times New Roman,Bold" w:hAnsi="Times New Roman" w:cs="Times New Roman"/>
          <w:bCs/>
          <w:sz w:val="28"/>
          <w:szCs w:val="28"/>
          <w:lang w:val="az-Latn-AZ"/>
        </w:rPr>
        <w:t>başqalaşması</w:t>
      </w:r>
      <w:r w:rsidRPr="006B7E8B">
        <w:rPr>
          <w:rFonts w:ascii="Times New Roman" w:eastAsia="Times New Roman,Bold" w:hAnsi="Times New Roman" w:cs="Times New Roman"/>
          <w:bCs/>
          <w:sz w:val="28"/>
          <w:szCs w:val="28"/>
          <w:lang w:val="az-Latn-AZ"/>
        </w:rPr>
        <w:t xml:space="preserve"> və iqtisadi münasibətlər </w:t>
      </w:r>
      <w:r w:rsidR="00982C0C" w:rsidRPr="006B7E8B">
        <w:rPr>
          <w:rFonts w:ascii="Times New Roman" w:eastAsia="Times New Roman,Bold" w:hAnsi="Times New Roman" w:cs="Times New Roman"/>
          <w:bCs/>
          <w:sz w:val="28"/>
          <w:szCs w:val="28"/>
          <w:lang w:val="az-Latn-AZ"/>
        </w:rPr>
        <w:t>sferasında</w:t>
      </w:r>
      <w:r w:rsidRPr="006B7E8B">
        <w:rPr>
          <w:rFonts w:ascii="Times New Roman" w:eastAsia="Times New Roman,Bold" w:hAnsi="Times New Roman" w:cs="Times New Roman"/>
          <w:bCs/>
          <w:sz w:val="28"/>
          <w:szCs w:val="28"/>
          <w:lang w:val="az-Latn-AZ"/>
        </w:rPr>
        <w:t xml:space="preserve"> kreditin rolunun </w:t>
      </w:r>
      <w:r w:rsidR="00982C0C" w:rsidRPr="006B7E8B">
        <w:rPr>
          <w:rFonts w:ascii="Times New Roman" w:eastAsia="Times New Roman,Bold" w:hAnsi="Times New Roman" w:cs="Times New Roman"/>
          <w:bCs/>
          <w:sz w:val="28"/>
          <w:szCs w:val="28"/>
          <w:lang w:val="az-Latn-AZ"/>
        </w:rPr>
        <w:t>çoxalması</w:t>
      </w:r>
      <w:r w:rsidRPr="006B7E8B">
        <w:rPr>
          <w:rFonts w:ascii="Times New Roman" w:eastAsia="Times New Roman,Bold" w:hAnsi="Times New Roman" w:cs="Times New Roman"/>
          <w:bCs/>
          <w:sz w:val="28"/>
          <w:szCs w:val="28"/>
          <w:lang w:val="az-Latn-AZ"/>
        </w:rPr>
        <w:t xml:space="preserve"> </w:t>
      </w:r>
      <w:r w:rsidR="00982C0C" w:rsidRPr="006B7E8B">
        <w:rPr>
          <w:rFonts w:ascii="Times New Roman" w:eastAsia="Times New Roman,Bold" w:hAnsi="Times New Roman" w:cs="Times New Roman"/>
          <w:bCs/>
          <w:sz w:val="28"/>
          <w:szCs w:val="28"/>
          <w:lang w:val="az-Latn-AZ"/>
        </w:rPr>
        <w:t>mənasına gəlir</w:t>
      </w:r>
      <w:r w:rsidRPr="006B7E8B">
        <w:rPr>
          <w:rFonts w:ascii="Times New Roman" w:eastAsia="Times New Roman,Bold" w:hAnsi="Times New Roman" w:cs="Times New Roman"/>
          <w:bCs/>
          <w:sz w:val="28"/>
          <w:szCs w:val="28"/>
          <w:lang w:val="az-Latn-AZ"/>
        </w:rPr>
        <w:t xml:space="preserve">. Kredit </w:t>
      </w:r>
      <w:r w:rsidR="00982C0C" w:rsidRPr="006B7E8B">
        <w:rPr>
          <w:rFonts w:ascii="Times New Roman" w:eastAsia="Times New Roman,Bold" w:hAnsi="Times New Roman" w:cs="Times New Roman"/>
          <w:bCs/>
          <w:sz w:val="28"/>
          <w:szCs w:val="28"/>
          <w:lang w:val="az-Latn-AZ"/>
        </w:rPr>
        <w:t>istehsal edən</w:t>
      </w:r>
      <w:r w:rsidRPr="006B7E8B">
        <w:rPr>
          <w:rFonts w:ascii="Times New Roman" w:eastAsia="Times New Roman,Bold" w:hAnsi="Times New Roman" w:cs="Times New Roman"/>
          <w:bCs/>
          <w:sz w:val="28"/>
          <w:szCs w:val="28"/>
          <w:lang w:val="az-Latn-AZ"/>
        </w:rPr>
        <w:t xml:space="preserve"> qüvvələrin </w:t>
      </w:r>
      <w:r w:rsidR="00982C0C" w:rsidRPr="006B7E8B">
        <w:rPr>
          <w:rFonts w:ascii="Times New Roman" w:eastAsia="Times New Roman,Bold" w:hAnsi="Times New Roman" w:cs="Times New Roman"/>
          <w:bCs/>
          <w:sz w:val="28"/>
          <w:szCs w:val="28"/>
          <w:lang w:val="az-Latn-AZ"/>
        </w:rPr>
        <w:t>tərəqqisinə meylləndirir</w:t>
      </w:r>
      <w:r w:rsidRPr="006B7E8B">
        <w:rPr>
          <w:rFonts w:ascii="Times New Roman" w:eastAsia="Times New Roman,Bold" w:hAnsi="Times New Roman" w:cs="Times New Roman"/>
          <w:bCs/>
          <w:sz w:val="28"/>
          <w:szCs w:val="28"/>
          <w:lang w:val="az-Latn-AZ"/>
        </w:rPr>
        <w:t xml:space="preserve"> verir, </w:t>
      </w:r>
      <w:r w:rsidR="00982C0C" w:rsidRPr="006B7E8B">
        <w:rPr>
          <w:rFonts w:ascii="Times New Roman" w:eastAsia="Times New Roman,Bold" w:hAnsi="Times New Roman" w:cs="Times New Roman"/>
          <w:bCs/>
          <w:sz w:val="28"/>
          <w:szCs w:val="28"/>
          <w:lang w:val="az-Latn-AZ"/>
        </w:rPr>
        <w:t>yenidəən</w:t>
      </w:r>
      <w:r w:rsidRPr="006B7E8B">
        <w:rPr>
          <w:rFonts w:ascii="Times New Roman" w:eastAsia="Times New Roman,Bold" w:hAnsi="Times New Roman" w:cs="Times New Roman"/>
          <w:bCs/>
          <w:sz w:val="28"/>
          <w:szCs w:val="28"/>
          <w:lang w:val="az-Latn-AZ"/>
        </w:rPr>
        <w:t xml:space="preserve"> istehsalın </w:t>
      </w:r>
      <w:r w:rsidR="00982C0C" w:rsidRPr="006B7E8B">
        <w:rPr>
          <w:rFonts w:ascii="Times New Roman" w:eastAsia="Times New Roman,Bold" w:hAnsi="Times New Roman" w:cs="Times New Roman"/>
          <w:bCs/>
          <w:sz w:val="28"/>
          <w:szCs w:val="28"/>
          <w:lang w:val="az-Latn-AZ"/>
        </w:rPr>
        <w:t>tərəqqisi</w:t>
      </w:r>
      <w:r w:rsidRPr="006B7E8B">
        <w:rPr>
          <w:rFonts w:ascii="Times New Roman" w:eastAsia="Times New Roman,Bold" w:hAnsi="Times New Roman" w:cs="Times New Roman"/>
          <w:bCs/>
          <w:sz w:val="28"/>
          <w:szCs w:val="28"/>
          <w:lang w:val="az-Latn-AZ"/>
        </w:rPr>
        <w:t xml:space="preserve"> üçün kapital </w:t>
      </w:r>
      <w:r w:rsidR="00982C0C" w:rsidRPr="006B7E8B">
        <w:rPr>
          <w:rFonts w:ascii="Times New Roman" w:eastAsia="Times New Roman,Bold" w:hAnsi="Times New Roman" w:cs="Times New Roman"/>
          <w:bCs/>
          <w:sz w:val="28"/>
          <w:szCs w:val="28"/>
          <w:lang w:val="az-Latn-AZ"/>
        </w:rPr>
        <w:t>mərkəzlərinin</w:t>
      </w:r>
      <w:r w:rsidRPr="006B7E8B">
        <w:rPr>
          <w:rFonts w:ascii="Times New Roman" w:eastAsia="Times New Roman,Bold" w:hAnsi="Times New Roman" w:cs="Times New Roman"/>
          <w:bCs/>
          <w:sz w:val="28"/>
          <w:szCs w:val="28"/>
          <w:lang w:val="az-Latn-AZ"/>
        </w:rPr>
        <w:t xml:space="preserve"> </w:t>
      </w:r>
      <w:r w:rsidR="00982C0C" w:rsidRPr="006B7E8B">
        <w:rPr>
          <w:rFonts w:ascii="Times New Roman" w:eastAsia="Times New Roman,Bold" w:hAnsi="Times New Roman" w:cs="Times New Roman"/>
          <w:bCs/>
          <w:sz w:val="28"/>
          <w:szCs w:val="28"/>
          <w:lang w:val="az-Latn-AZ"/>
        </w:rPr>
        <w:t>yaradılmasını</w:t>
      </w:r>
      <w:r w:rsidRPr="006B7E8B">
        <w:rPr>
          <w:rFonts w:ascii="Times New Roman" w:eastAsia="Times New Roman,Bold" w:hAnsi="Times New Roman" w:cs="Times New Roman"/>
          <w:bCs/>
          <w:sz w:val="28"/>
          <w:szCs w:val="28"/>
          <w:lang w:val="az-Latn-AZ"/>
        </w:rPr>
        <w:t xml:space="preserve"> </w:t>
      </w:r>
      <w:r w:rsidR="00982C0C" w:rsidRPr="006B7E8B">
        <w:rPr>
          <w:rFonts w:ascii="Times New Roman" w:eastAsia="Times New Roman,Bold" w:hAnsi="Times New Roman" w:cs="Times New Roman"/>
          <w:bCs/>
          <w:sz w:val="28"/>
          <w:szCs w:val="28"/>
          <w:lang w:val="az-Latn-AZ"/>
        </w:rPr>
        <w:t>yeyinləşdirir. Digər tərəfdən, borc vermə, inkişaf etməkdə olan bazar iqtisadiyyatlarında bəzi risklərlə qarşı-qarşıya qoyur. Müasir zamanlarda, bank riskləri problemi xüsusilə kəskin hal almışdır. Beynəlxalq təcrübə, banklarda uyğun korporativ idarəetmə əskikliyinin, risklərin idarə və daxili nəzarət problemlərinin ümumiyyətlə ayrı banklarda böhranlara gətirib çıxardığını və bank sektorunun maliyyə sabitliyi təhlükəyə atdığını göstərir. Günümüzün sürətlə inkişaf edən bank işində, risklərin idarə problemi Azərbaycanın bank sisteminin vəziyyətinə mənfi istiqamətdə təsir edə biləcək ciddi faktorlardan biri halına gəlir.</w:t>
      </w:r>
    </w:p>
    <w:p w:rsidR="002A4130" w:rsidRPr="006B7E8B" w:rsidRDefault="002A4130"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Bütün sadaladıqlarımızdan sonra qeyd edə bilərik ki, banklarda dev</w:t>
      </w:r>
      <w:r w:rsidR="00A539F2" w:rsidRPr="006B7E8B">
        <w:rPr>
          <w:rFonts w:ascii="Times New Roman" w:eastAsia="Times New Roman,Bold" w:hAnsi="Times New Roman" w:cs="Times New Roman"/>
          <w:bCs/>
          <w:sz w:val="28"/>
          <w:szCs w:val="28"/>
          <w:lang w:val="az-Latn-AZ"/>
        </w:rPr>
        <w:t>a</w:t>
      </w:r>
      <w:r w:rsidRPr="006B7E8B">
        <w:rPr>
          <w:rFonts w:ascii="Times New Roman" w:eastAsia="Times New Roman,Bold" w:hAnsi="Times New Roman" w:cs="Times New Roman"/>
          <w:bCs/>
          <w:sz w:val="28"/>
          <w:szCs w:val="28"/>
          <w:lang w:val="az-Latn-AZ"/>
        </w:rPr>
        <w:t>lvasiya proseslərinin ara</w:t>
      </w:r>
      <w:r w:rsidR="007F7AC2" w:rsidRPr="006B7E8B">
        <w:rPr>
          <w:rFonts w:ascii="Times New Roman" w:eastAsia="Times New Roman,Bold" w:hAnsi="Times New Roman" w:cs="Times New Roman"/>
          <w:bCs/>
          <w:sz w:val="28"/>
          <w:szCs w:val="28"/>
          <w:lang w:val="az-Latn-AZ"/>
        </w:rPr>
        <w:t>ş</w:t>
      </w:r>
      <w:r w:rsidRPr="006B7E8B">
        <w:rPr>
          <w:rFonts w:ascii="Times New Roman" w:eastAsia="Times New Roman,Bold" w:hAnsi="Times New Roman" w:cs="Times New Roman"/>
          <w:bCs/>
          <w:sz w:val="28"/>
          <w:szCs w:val="28"/>
          <w:lang w:val="az-Latn-AZ"/>
        </w:rPr>
        <w:t>dırılması, dünya ölkələri eləcə də Azərbaycan üçün aktual məsələ olaraq dəyərləndirilir.</w:t>
      </w:r>
    </w:p>
    <w:p w:rsidR="00495E7D" w:rsidRPr="006B7E8B" w:rsidRDefault="002A4130"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
          <w:bCs/>
          <w:sz w:val="28"/>
          <w:szCs w:val="28"/>
          <w:lang w:val="az-Latn-AZ"/>
        </w:rPr>
        <w:t>Tədqiqat i</w:t>
      </w:r>
      <w:r w:rsidR="007F7AC2" w:rsidRPr="006B7E8B">
        <w:rPr>
          <w:rFonts w:ascii="Times New Roman" w:eastAsia="Times New Roman,Bold" w:hAnsi="Times New Roman" w:cs="Times New Roman"/>
          <w:b/>
          <w:bCs/>
          <w:sz w:val="28"/>
          <w:szCs w:val="28"/>
          <w:lang w:val="az-Latn-AZ"/>
        </w:rPr>
        <w:t>ş</w:t>
      </w:r>
      <w:r w:rsidRPr="006B7E8B">
        <w:rPr>
          <w:rFonts w:ascii="Times New Roman" w:eastAsia="Times New Roman,Bold" w:hAnsi="Times New Roman" w:cs="Times New Roman"/>
          <w:b/>
          <w:bCs/>
          <w:sz w:val="28"/>
          <w:szCs w:val="28"/>
          <w:lang w:val="az-Latn-AZ"/>
        </w:rPr>
        <w:t>inin məqsəd və vəzifələri.</w:t>
      </w:r>
      <w:r w:rsidRPr="006B7E8B">
        <w:rPr>
          <w:rFonts w:ascii="Times New Roman" w:eastAsia="Times New Roman,Bold" w:hAnsi="Times New Roman" w:cs="Times New Roman"/>
          <w:bCs/>
          <w:sz w:val="28"/>
          <w:szCs w:val="28"/>
          <w:lang w:val="az-Latn-AZ"/>
        </w:rPr>
        <w:t xml:space="preserve"> </w:t>
      </w:r>
      <w:r w:rsidR="00495E7D" w:rsidRPr="006B7E8B">
        <w:rPr>
          <w:rFonts w:ascii="Times New Roman" w:eastAsia="Times New Roman,Bold" w:hAnsi="Times New Roman" w:cs="Times New Roman"/>
          <w:bCs/>
          <w:sz w:val="28"/>
          <w:szCs w:val="28"/>
          <w:lang w:val="az-Latn-AZ"/>
        </w:rPr>
        <w:t xml:space="preserve">Tədqiqatın əsas məqsədi </w:t>
      </w:r>
      <w:r w:rsidR="002B1AFC" w:rsidRPr="006B7E8B">
        <w:rPr>
          <w:rFonts w:ascii="Times New Roman" w:eastAsia="Times New Roman,Bold" w:hAnsi="Times New Roman" w:cs="Times New Roman"/>
          <w:bCs/>
          <w:sz w:val="28"/>
          <w:szCs w:val="28"/>
          <w:lang w:val="az-Latn-AZ"/>
        </w:rPr>
        <w:t xml:space="preserve">devalvasiya </w:t>
      </w:r>
      <w:r w:rsidR="00495E7D" w:rsidRPr="006B7E8B">
        <w:rPr>
          <w:rFonts w:ascii="Times New Roman" w:eastAsia="Times New Roman,Bold" w:hAnsi="Times New Roman" w:cs="Times New Roman"/>
          <w:bCs/>
          <w:sz w:val="28"/>
          <w:szCs w:val="28"/>
          <w:lang w:val="az-Latn-AZ"/>
        </w:rPr>
        <w:t>nın tənzimlənməsi siyasətinin mahiyyətini, ölkənin inki</w:t>
      </w:r>
      <w:r w:rsidR="007F7AC2" w:rsidRPr="006B7E8B">
        <w:rPr>
          <w:rFonts w:ascii="Times New Roman" w:eastAsia="Times New Roman,Bold" w:hAnsi="Times New Roman" w:cs="Times New Roman"/>
          <w:bCs/>
          <w:sz w:val="28"/>
          <w:szCs w:val="28"/>
          <w:lang w:val="az-Latn-AZ"/>
        </w:rPr>
        <w:t>ş</w:t>
      </w:r>
      <w:r w:rsidR="00495E7D" w:rsidRPr="006B7E8B">
        <w:rPr>
          <w:rFonts w:ascii="Times New Roman" w:eastAsia="Times New Roman,Bold" w:hAnsi="Times New Roman" w:cs="Times New Roman"/>
          <w:bCs/>
          <w:sz w:val="28"/>
          <w:szCs w:val="28"/>
          <w:lang w:val="az-Latn-AZ"/>
        </w:rPr>
        <w:t xml:space="preserve">afında </w:t>
      </w:r>
      <w:r w:rsidR="002B1AFC" w:rsidRPr="006B7E8B">
        <w:rPr>
          <w:rFonts w:ascii="Times New Roman" w:eastAsia="Times New Roman,Bold" w:hAnsi="Times New Roman" w:cs="Times New Roman"/>
          <w:bCs/>
          <w:sz w:val="28"/>
          <w:szCs w:val="28"/>
          <w:lang w:val="az-Latn-AZ"/>
        </w:rPr>
        <w:t xml:space="preserve">devalvasiya </w:t>
      </w:r>
      <w:r w:rsidR="00495E7D" w:rsidRPr="006B7E8B">
        <w:rPr>
          <w:rFonts w:ascii="Times New Roman" w:eastAsia="Times New Roman,Bold" w:hAnsi="Times New Roman" w:cs="Times New Roman"/>
          <w:bCs/>
          <w:sz w:val="28"/>
          <w:szCs w:val="28"/>
          <w:lang w:val="az-Latn-AZ"/>
        </w:rPr>
        <w:t xml:space="preserve">nın tənzimlənməsi siyasətinin və antiinflasiya siyasətinin əsas istiqamətlərini öyrənməkdir. </w:t>
      </w:r>
      <w:r w:rsidR="00982C0C" w:rsidRPr="006B7E8B">
        <w:rPr>
          <w:rFonts w:ascii="Times New Roman" w:eastAsia="Times New Roman,Bold" w:hAnsi="Times New Roman" w:cs="Times New Roman"/>
          <w:bCs/>
          <w:sz w:val="28"/>
          <w:szCs w:val="28"/>
          <w:lang w:val="az-Latn-AZ"/>
        </w:rPr>
        <w:t>İqtisadiyyatdakı hər hansı bir dövlətin əsas məqsədi, güclü iqtisadi böyümə, daxili qiymətlərin sabitliyinə və xarici iqtisadi tarazlığı təmin etməkdir. Bu məqsəd aşağıdakı hədəfləri tələb edir:</w:t>
      </w:r>
    </w:p>
    <w:p w:rsidR="00495E7D" w:rsidRPr="006B7E8B" w:rsidRDefault="00495E7D" w:rsidP="00A539F2">
      <w:pPr>
        <w:spacing w:line="360" w:lineRule="auto"/>
        <w:ind w:firstLine="709"/>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 xml:space="preserve">- müasir </w:t>
      </w:r>
      <w:r w:rsidR="002B1AFC" w:rsidRPr="006B7E8B">
        <w:rPr>
          <w:rFonts w:ascii="Times New Roman" w:eastAsia="Times New Roman,Bold" w:hAnsi="Times New Roman" w:cs="Times New Roman"/>
          <w:bCs/>
          <w:sz w:val="28"/>
          <w:szCs w:val="28"/>
          <w:lang w:val="az-Latn-AZ"/>
        </w:rPr>
        <w:t xml:space="preserve">devalvasiya </w:t>
      </w:r>
      <w:r w:rsidRPr="006B7E8B">
        <w:rPr>
          <w:rFonts w:ascii="Times New Roman" w:eastAsia="Times New Roman,Bold" w:hAnsi="Times New Roman" w:cs="Times New Roman"/>
          <w:bCs/>
          <w:sz w:val="28"/>
          <w:szCs w:val="28"/>
          <w:lang w:val="az-Latn-AZ"/>
        </w:rPr>
        <w:t xml:space="preserve">nın tənzimlənməsi sisteminin əsas xüsusiyyətlərinin və ona təsir elementlərinin müəyyən edilməsi; </w:t>
      </w:r>
    </w:p>
    <w:p w:rsidR="00495E7D" w:rsidRPr="006B7E8B" w:rsidRDefault="00495E7D"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 antiinflasiya sisteminin bazar iqtisadiyyatına uyğun, iqtisadi islahatlar dövründə formala</w:t>
      </w:r>
      <w:r w:rsidR="007F7AC2" w:rsidRPr="006B7E8B">
        <w:rPr>
          <w:rFonts w:ascii="Times New Roman" w:eastAsia="Times New Roman,Bold" w:hAnsi="Times New Roman" w:cs="Times New Roman"/>
          <w:bCs/>
          <w:sz w:val="28"/>
          <w:szCs w:val="28"/>
          <w:lang w:val="az-Latn-AZ"/>
        </w:rPr>
        <w:t>ş</w:t>
      </w:r>
      <w:r w:rsidRPr="006B7E8B">
        <w:rPr>
          <w:rFonts w:ascii="Times New Roman" w:eastAsia="Times New Roman,Bold" w:hAnsi="Times New Roman" w:cs="Times New Roman"/>
          <w:bCs/>
          <w:sz w:val="28"/>
          <w:szCs w:val="28"/>
          <w:lang w:val="az-Latn-AZ"/>
        </w:rPr>
        <w:t>dırılması, onun məqsəd və vəzifələrinin dəqiqlə</w:t>
      </w:r>
      <w:r w:rsidR="007F7AC2" w:rsidRPr="006B7E8B">
        <w:rPr>
          <w:rFonts w:ascii="Times New Roman" w:eastAsia="Times New Roman,Bold" w:hAnsi="Times New Roman" w:cs="Times New Roman"/>
          <w:bCs/>
          <w:sz w:val="28"/>
          <w:szCs w:val="28"/>
          <w:lang w:val="az-Latn-AZ"/>
        </w:rPr>
        <w:t>ş</w:t>
      </w:r>
      <w:r w:rsidRPr="006B7E8B">
        <w:rPr>
          <w:rFonts w:ascii="Times New Roman" w:eastAsia="Times New Roman,Bold" w:hAnsi="Times New Roman" w:cs="Times New Roman"/>
          <w:bCs/>
          <w:sz w:val="28"/>
          <w:szCs w:val="28"/>
          <w:lang w:val="az-Latn-AZ"/>
        </w:rPr>
        <w:t xml:space="preserve">dirilməsi; </w:t>
      </w:r>
    </w:p>
    <w:p w:rsidR="002B1AFC" w:rsidRPr="006B7E8B" w:rsidRDefault="00495E7D"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 xml:space="preserve">- dünya və Azərbaycan iqtisadiyyatında antiinflasiya siyasətinin həyata keçirilməsi imkanlarından istifadə təcrübəsinin təhlil edilməsi; </w:t>
      </w:r>
    </w:p>
    <w:p w:rsidR="00495E7D" w:rsidRPr="006B7E8B" w:rsidRDefault="00495E7D"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 milli iqtisadiyyatın müasir vəziyyətinin ara</w:t>
      </w:r>
      <w:r w:rsidR="007F7AC2" w:rsidRPr="006B7E8B">
        <w:rPr>
          <w:rFonts w:ascii="Times New Roman" w:eastAsia="Times New Roman,Bold" w:hAnsi="Times New Roman" w:cs="Times New Roman"/>
          <w:bCs/>
          <w:sz w:val="28"/>
          <w:szCs w:val="28"/>
          <w:lang w:val="az-Latn-AZ"/>
        </w:rPr>
        <w:t>ş</w:t>
      </w:r>
      <w:r w:rsidRPr="006B7E8B">
        <w:rPr>
          <w:rFonts w:ascii="Times New Roman" w:eastAsia="Times New Roman,Bold" w:hAnsi="Times New Roman" w:cs="Times New Roman"/>
          <w:bCs/>
          <w:sz w:val="28"/>
          <w:szCs w:val="28"/>
          <w:lang w:val="az-Latn-AZ"/>
        </w:rPr>
        <w:t xml:space="preserve">dırılması; </w:t>
      </w:r>
    </w:p>
    <w:p w:rsidR="00495E7D" w:rsidRPr="006B7E8B" w:rsidRDefault="00D06FCF"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 müasir antidevalvasiya</w:t>
      </w:r>
      <w:r w:rsidR="00495E7D" w:rsidRPr="006B7E8B">
        <w:rPr>
          <w:rFonts w:ascii="Times New Roman" w:eastAsia="Times New Roman,Bold" w:hAnsi="Times New Roman" w:cs="Times New Roman"/>
          <w:bCs/>
          <w:sz w:val="28"/>
          <w:szCs w:val="28"/>
          <w:lang w:val="az-Latn-AZ"/>
        </w:rPr>
        <w:t xml:space="preserve"> sistemindəki problemlərinin təhlili; </w:t>
      </w:r>
    </w:p>
    <w:p w:rsidR="00982C0C" w:rsidRPr="006B7E8B" w:rsidRDefault="002A4130" w:rsidP="00495E7D">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
          <w:bCs/>
          <w:sz w:val="28"/>
          <w:szCs w:val="28"/>
          <w:lang w:val="az-Latn-AZ"/>
        </w:rPr>
        <w:t>Tədqiqatın elmi yeniliyi</w:t>
      </w:r>
      <w:r w:rsidRPr="006B7E8B">
        <w:rPr>
          <w:rFonts w:ascii="Times New Roman" w:eastAsia="Times New Roman,Bold" w:hAnsi="Times New Roman" w:cs="Times New Roman"/>
          <w:bCs/>
          <w:sz w:val="28"/>
          <w:szCs w:val="28"/>
          <w:lang w:val="az-Latn-AZ"/>
        </w:rPr>
        <w:t xml:space="preserve"> bankların idarə olunması üzrə fəaliyyətə risklərin təsirinin elmi-analitik tədqiqidir. </w:t>
      </w:r>
      <w:r w:rsidR="00982C0C" w:rsidRPr="006B7E8B">
        <w:rPr>
          <w:rFonts w:ascii="Times New Roman" w:eastAsia="Times New Roman,Bold" w:hAnsi="Times New Roman" w:cs="Times New Roman"/>
          <w:bCs/>
          <w:sz w:val="28"/>
          <w:szCs w:val="28"/>
          <w:lang w:val="az-Latn-AZ"/>
        </w:rPr>
        <w:t xml:space="preserve"> Bu səbəblə, Azərbaycan da bu sahədə yaşanan problemləri aradan qaldırmaq üçün xarici təcrübələrin devalvasiya rəhbərliyi istiqamətində işinin nəticələrinin tətbiq olunması elmi baxımdan sübut edilmişdir. Tədqiqat işinin elmi yeniliyi aşağıdakılardan ibarətdir:</w:t>
      </w:r>
    </w:p>
    <w:p w:rsidR="00197B99" w:rsidRPr="006B7E8B"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1) Azərbaycanda banklardakı devalvasiyanın qarşısını almaq üçün siyasətinin məqsədi, vəzifələri və rolu araşdırılmışdır; </w:t>
      </w:r>
    </w:p>
    <w:p w:rsidR="00197B99" w:rsidRPr="006B7E8B"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2) Banklardakı devalvasiya siyasətinin tənzimləyici mexanizmlərinin geniş tərifi daha açıq bir şəkildə araşdırılmışdır; </w:t>
      </w:r>
    </w:p>
    <w:p w:rsidR="00197B99" w:rsidRPr="006B7E8B"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3) Devalvasiyanın idarəolunma siyasətinin əsas xüsusiyyətləri banklarda müəyyən edilmişdir; </w:t>
      </w:r>
    </w:p>
    <w:p w:rsidR="00197B99" w:rsidRPr="006B7E8B" w:rsidRDefault="00197B99" w:rsidP="00EC79C9">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4) Banklardakı devalvasiya siyasətinin əsas istiqamətlərini analiz etdi; </w:t>
      </w:r>
    </w:p>
    <w:p w:rsidR="002A4130" w:rsidRPr="006B7E8B" w:rsidRDefault="00982C0C" w:rsidP="00197B99">
      <w:pPr>
        <w:spacing w:line="360" w:lineRule="auto"/>
        <w:ind w:firstLine="708"/>
        <w:contextualSpacing/>
        <w:jc w:val="both"/>
        <w:rPr>
          <w:rFonts w:ascii="Times New Roman" w:eastAsia="Times New Roman,Bold" w:hAnsi="Times New Roman" w:cs="Times New Roman"/>
          <w:bCs/>
          <w:sz w:val="28"/>
          <w:szCs w:val="28"/>
          <w:lang w:val="az-Latn-AZ"/>
        </w:rPr>
      </w:pPr>
      <w:r w:rsidRPr="006B7E8B">
        <w:rPr>
          <w:rFonts w:ascii="Times New Roman" w:eastAsia="Times New Roman,Bold" w:hAnsi="Times New Roman" w:cs="Times New Roman"/>
          <w:bCs/>
          <w:sz w:val="28"/>
          <w:szCs w:val="28"/>
          <w:lang w:val="az-Latn-AZ"/>
        </w:rPr>
        <w:t>5) Mərkə</w:t>
      </w:r>
      <w:r w:rsidR="00197B99" w:rsidRPr="006B7E8B">
        <w:rPr>
          <w:rFonts w:ascii="Times New Roman" w:eastAsia="Times New Roman,Bold" w:hAnsi="Times New Roman" w:cs="Times New Roman"/>
          <w:bCs/>
          <w:sz w:val="28"/>
          <w:szCs w:val="28"/>
          <w:lang w:val="az-Latn-AZ"/>
        </w:rPr>
        <w:t>zi Bankın bankların</w:t>
      </w:r>
      <w:r w:rsidRPr="006B7E8B">
        <w:rPr>
          <w:rFonts w:ascii="Times New Roman" w:eastAsia="Times New Roman,Bold" w:hAnsi="Times New Roman" w:cs="Times New Roman"/>
          <w:bCs/>
          <w:sz w:val="28"/>
          <w:szCs w:val="28"/>
          <w:lang w:val="az-Latn-AZ"/>
        </w:rPr>
        <w:t xml:space="preserve"> devalvasiya siyasətinin hazırlanmasına və həyata keçirilməsinə və makroiqtisadi siyasətdəki rolunun yaxşılaşdırılmasına istiqamətli təkliflər </w:t>
      </w:r>
      <w:r w:rsidR="00197B99" w:rsidRPr="006B7E8B">
        <w:rPr>
          <w:rFonts w:ascii="Times New Roman" w:eastAsia="Times New Roman,Bold" w:hAnsi="Times New Roman" w:cs="Times New Roman"/>
          <w:bCs/>
          <w:sz w:val="28"/>
          <w:szCs w:val="28"/>
          <w:lang w:val="az-Latn-AZ"/>
        </w:rPr>
        <w:t>verilmişdir</w:t>
      </w:r>
      <w:r w:rsidRPr="006B7E8B">
        <w:rPr>
          <w:rFonts w:ascii="Times New Roman" w:eastAsia="Times New Roman,Bold" w:hAnsi="Times New Roman" w:cs="Times New Roman"/>
          <w:bCs/>
          <w:sz w:val="28"/>
          <w:szCs w:val="28"/>
          <w:lang w:val="az-Latn-AZ"/>
        </w:rPr>
        <w:t>.</w:t>
      </w:r>
    </w:p>
    <w:p w:rsidR="002A4130" w:rsidRPr="006B7E8B" w:rsidRDefault="002A4130" w:rsidP="00EC79C9">
      <w:pPr>
        <w:spacing w:line="360" w:lineRule="auto"/>
        <w:jc w:val="both"/>
        <w:rPr>
          <w:rFonts w:ascii="Times New Roman" w:eastAsia="Times New Roman,Bold" w:hAnsi="Times New Roman" w:cs="Times New Roman"/>
          <w:bCs/>
          <w:sz w:val="28"/>
          <w:szCs w:val="28"/>
          <w:lang w:val="az-Latn-AZ"/>
        </w:rPr>
      </w:pPr>
    </w:p>
    <w:p w:rsidR="00A539F2" w:rsidRPr="006B7E8B" w:rsidRDefault="00A539F2" w:rsidP="00956E31">
      <w:pPr>
        <w:jc w:val="center"/>
        <w:rPr>
          <w:rFonts w:ascii="Times New Roman" w:eastAsia="Times New Roman,Bold" w:hAnsi="Times New Roman" w:cs="Times New Roman"/>
          <w:b/>
          <w:bCs/>
          <w:sz w:val="28"/>
          <w:szCs w:val="28"/>
          <w:lang w:val="az-Latn-AZ"/>
        </w:rPr>
      </w:pPr>
    </w:p>
    <w:p w:rsidR="00A539F2" w:rsidRPr="006B7E8B" w:rsidRDefault="00A539F2" w:rsidP="00956E31">
      <w:pPr>
        <w:jc w:val="center"/>
        <w:rPr>
          <w:rFonts w:ascii="Times New Roman" w:eastAsia="Times New Roman,Bold" w:hAnsi="Times New Roman" w:cs="Times New Roman"/>
          <w:b/>
          <w:bCs/>
          <w:sz w:val="28"/>
          <w:szCs w:val="28"/>
          <w:lang w:val="az-Latn-AZ"/>
        </w:rPr>
      </w:pPr>
    </w:p>
    <w:p w:rsidR="00197B99" w:rsidRPr="006B7E8B" w:rsidRDefault="00197B99" w:rsidP="00956E31">
      <w:pPr>
        <w:jc w:val="center"/>
        <w:rPr>
          <w:rFonts w:ascii="Times New Roman" w:eastAsia="Times New Roman,Bold" w:hAnsi="Times New Roman" w:cs="Times New Roman"/>
          <w:b/>
          <w:bCs/>
          <w:sz w:val="28"/>
          <w:szCs w:val="28"/>
          <w:lang w:val="az-Latn-AZ"/>
        </w:rPr>
      </w:pPr>
    </w:p>
    <w:p w:rsidR="00197B99" w:rsidRPr="006B7E8B" w:rsidRDefault="00197B99" w:rsidP="00956E31">
      <w:pPr>
        <w:jc w:val="center"/>
        <w:rPr>
          <w:rFonts w:ascii="Times New Roman" w:eastAsia="Times New Roman,Bold" w:hAnsi="Times New Roman" w:cs="Times New Roman"/>
          <w:b/>
          <w:bCs/>
          <w:sz w:val="28"/>
          <w:szCs w:val="28"/>
          <w:lang w:val="az-Latn-AZ"/>
        </w:rPr>
      </w:pPr>
    </w:p>
    <w:p w:rsidR="00197B99" w:rsidRPr="006B7E8B" w:rsidRDefault="00197B99" w:rsidP="00956E31">
      <w:pPr>
        <w:jc w:val="center"/>
        <w:rPr>
          <w:rFonts w:ascii="Times New Roman" w:eastAsia="Times New Roman,Bold" w:hAnsi="Times New Roman" w:cs="Times New Roman"/>
          <w:b/>
          <w:bCs/>
          <w:sz w:val="28"/>
          <w:szCs w:val="28"/>
          <w:lang w:val="az-Latn-AZ"/>
        </w:rPr>
      </w:pPr>
    </w:p>
    <w:p w:rsidR="00956E31" w:rsidRPr="006B7E8B" w:rsidRDefault="006E1097" w:rsidP="00251BAA">
      <w:pPr>
        <w:pStyle w:val="Heading1"/>
        <w:spacing w:line="360" w:lineRule="auto"/>
        <w:rPr>
          <w:rFonts w:ascii="Times New Roman" w:eastAsia="Times New Roman,Bold" w:hAnsi="Times New Roman" w:cs="Times New Roman"/>
          <w:lang w:val="az-Latn-AZ"/>
        </w:rPr>
      </w:pPr>
      <w:bookmarkStart w:id="3" w:name="_Toc8806571"/>
      <w:bookmarkStart w:id="4" w:name="_Toc8806914"/>
      <w:r w:rsidRPr="006B7E8B">
        <w:rPr>
          <w:rFonts w:ascii="Times New Roman" w:eastAsia="Times New Roman,Bold" w:hAnsi="Times New Roman" w:cs="Times New Roman"/>
          <w:lang w:val="az-Latn-AZ"/>
        </w:rPr>
        <w:t>FƏSIL 1. DEV</w:t>
      </w:r>
      <w:r w:rsidR="007823F5" w:rsidRPr="006B7E8B">
        <w:rPr>
          <w:rFonts w:ascii="Times New Roman" w:eastAsia="Times New Roman,Bold" w:hAnsi="Times New Roman" w:cs="Times New Roman"/>
          <w:lang w:val="az-Latn-AZ"/>
        </w:rPr>
        <w:t>A</w:t>
      </w:r>
      <w:r w:rsidRPr="006B7E8B">
        <w:rPr>
          <w:rFonts w:ascii="Times New Roman" w:eastAsia="Times New Roman,Bold" w:hAnsi="Times New Roman" w:cs="Times New Roman"/>
          <w:lang w:val="az-Latn-AZ"/>
        </w:rPr>
        <w:t>LVASIYANIN ANLAYI</w:t>
      </w:r>
      <w:r w:rsidR="00F21C5F" w:rsidRPr="006B7E8B">
        <w:rPr>
          <w:rFonts w:ascii="Times New Roman" w:eastAsia="Times New Roman,Bold" w:hAnsi="Times New Roman" w:cs="Times New Roman"/>
          <w:lang w:val="az-Latn-AZ"/>
        </w:rPr>
        <w:t>Ş</w:t>
      </w:r>
      <w:r w:rsidRPr="006B7E8B">
        <w:rPr>
          <w:rFonts w:ascii="Times New Roman" w:eastAsia="Times New Roman,Bold" w:hAnsi="Times New Roman" w:cs="Times New Roman"/>
          <w:lang w:val="az-Latn-AZ"/>
        </w:rPr>
        <w:t>I, ONUN NƏZƏRI VƏ METODOLOJI ƏSASLARI</w:t>
      </w:r>
      <w:bookmarkEnd w:id="3"/>
      <w:bookmarkEnd w:id="4"/>
    </w:p>
    <w:p w:rsidR="00956E31" w:rsidRPr="006B7E8B" w:rsidRDefault="00956E31" w:rsidP="006B7E8B">
      <w:pPr>
        <w:pStyle w:val="Heading2"/>
        <w:numPr>
          <w:ilvl w:val="1"/>
          <w:numId w:val="32"/>
        </w:numPr>
        <w:spacing w:line="360" w:lineRule="auto"/>
        <w:rPr>
          <w:lang w:val="az-Latn-AZ"/>
        </w:rPr>
      </w:pPr>
      <w:bookmarkStart w:id="5" w:name="_Toc8806572"/>
      <w:bookmarkStart w:id="6" w:name="_Toc8806915"/>
      <w:r w:rsidRPr="006B7E8B">
        <w:rPr>
          <w:lang w:val="az-Latn-AZ"/>
        </w:rPr>
        <w:t>Dev</w:t>
      </w:r>
      <w:r w:rsidR="00251BAA">
        <w:rPr>
          <w:lang w:val="az-Latn-AZ"/>
        </w:rPr>
        <w:t>a</w:t>
      </w:r>
      <w:r w:rsidRPr="006B7E8B">
        <w:rPr>
          <w:lang w:val="az-Latn-AZ"/>
        </w:rPr>
        <w:t>lvasiyanın anlayı</w:t>
      </w:r>
      <w:r w:rsidR="007F7AC2" w:rsidRPr="006B7E8B">
        <w:rPr>
          <w:lang w:val="az-Latn-AZ"/>
        </w:rPr>
        <w:t>ş</w:t>
      </w:r>
      <w:r w:rsidRPr="006B7E8B">
        <w:rPr>
          <w:lang w:val="az-Latn-AZ"/>
        </w:rPr>
        <w:t>ı, mahiyyəti və yaranması səbəbləri</w:t>
      </w:r>
      <w:bookmarkEnd w:id="5"/>
      <w:bookmarkEnd w:id="6"/>
    </w:p>
    <w:p w:rsidR="00EC49ED" w:rsidRPr="006B7E8B" w:rsidRDefault="00EC49ED" w:rsidP="006B7E8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Müasir iqtisadiyyatda devalvasiya  bütöv bir kompleksin nəticəsində yaranır və təstiq edir ki, </w:t>
      </w:r>
      <w:r w:rsidR="00397D1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 yaradan səbəb yalnız pul deyil, o, iqtisadi, ictimai-siyasi bir fenomendir. Devalvasiya  həm də siyasi psixoloji və ictimai əhval ruhiyyədən də asılıdır. Bununla əlaqədar ― devalvasiya  gözləmələ</w:t>
      </w:r>
      <w:r w:rsidR="00397D11" w:rsidRPr="006B7E8B">
        <w:rPr>
          <w:rFonts w:ascii="Times New Roman" w:hAnsi="Times New Roman" w:cs="Times New Roman"/>
          <w:sz w:val="28"/>
          <w:szCs w:val="28"/>
          <w:lang w:val="az-Latn-AZ"/>
        </w:rPr>
        <w:t>ri</w:t>
      </w:r>
      <w:r w:rsidRPr="006B7E8B">
        <w:rPr>
          <w:rFonts w:ascii="Times New Roman" w:hAnsi="Times New Roman" w:cs="Times New Roman"/>
          <w:sz w:val="28"/>
          <w:szCs w:val="28"/>
          <w:lang w:val="az-Latn-AZ"/>
        </w:rPr>
        <w:t xml:space="preserve"> meydana çıxır: əgər cəmiyyət devalvasiya  gözləyirsə, bu qaçılmaz olaraq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verəcək. </w:t>
      </w:r>
    </w:p>
    <w:p w:rsidR="00397D11" w:rsidRPr="006B7E8B" w:rsidRDefault="00EC49E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Devalvasiya  bazar iqtisadiyyatının daimi elementidir. Bu qlobal xarakterli bir sıra amillərə səbəb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dur: </w:t>
      </w:r>
    </w:p>
    <w:p w:rsidR="00397D11" w:rsidRPr="006B7E8B" w:rsidRDefault="00EC49ED" w:rsidP="00397D11">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Əmtəə istehsalının sürətli artımı, onun strukturun mürəkkəblə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dirilməsi ; </w:t>
      </w:r>
    </w:p>
    <w:p w:rsidR="00397D11" w:rsidRPr="006B7E8B" w:rsidRDefault="00EC49ED" w:rsidP="00397D11">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Qiymət sisteminin və sosial köçürmələrin universalla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ması; </w:t>
      </w:r>
    </w:p>
    <w:p w:rsidR="00EC49ED" w:rsidRPr="006B7E8B" w:rsidRDefault="00EC49ED" w:rsidP="00397D11">
      <w:p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Qiymətləndirmə təcrübəsi inhisar müəssisələrin təsiri altında dəyi</w:t>
      </w:r>
      <w:r w:rsidR="007F7AC2" w:rsidRPr="006B7E8B">
        <w:rPr>
          <w:rFonts w:ascii="Times New Roman" w:hAnsi="Times New Roman" w:cs="Times New Roman"/>
          <w:sz w:val="28"/>
          <w:szCs w:val="28"/>
          <w:lang w:val="az-Latn-AZ"/>
        </w:rPr>
        <w:t>ş</w:t>
      </w:r>
      <w:r w:rsidR="00126910" w:rsidRPr="006B7E8B">
        <w:rPr>
          <w:rFonts w:ascii="Times New Roman" w:hAnsi="Times New Roman" w:cs="Times New Roman"/>
          <w:sz w:val="28"/>
          <w:szCs w:val="28"/>
          <w:lang w:val="az-Latn-AZ"/>
        </w:rPr>
        <w:t>ib</w:t>
      </w:r>
      <w:r w:rsidRPr="006B7E8B">
        <w:rPr>
          <w:rFonts w:ascii="Times New Roman" w:hAnsi="Times New Roman" w:cs="Times New Roman"/>
          <w:sz w:val="28"/>
          <w:szCs w:val="28"/>
          <w:lang w:val="az-Latn-AZ"/>
        </w:rPr>
        <w:t>. İstehsalın səmərəliliyinin yüksəldilməsi qiymətlərin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 salınması ilə deyil, istehsal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tirakçılarının mənfəətinin və gəlirlərinin artmasında özünü göstərir. Dövlət xərclərinin artması və dövlət büdcəsinin kəsri də </w:t>
      </w:r>
      <w:r w:rsidR="00397D1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yaranmasına səbəbdir. Inflyasiyanın böyüklüyü onun həlledici xarakteristikasıdır.</w:t>
      </w:r>
    </w:p>
    <w:p w:rsidR="00EC49ED" w:rsidRPr="006B7E8B" w:rsidRDefault="00397D11"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Devalvasiya</w:t>
      </w:r>
      <w:r w:rsidR="00EC49ED" w:rsidRPr="006B7E8B">
        <w:rPr>
          <w:rFonts w:ascii="Times New Roman" w:hAnsi="Times New Roman" w:cs="Times New Roman"/>
          <w:sz w:val="28"/>
          <w:szCs w:val="28"/>
          <w:lang w:val="az-Latn-AZ"/>
        </w:rPr>
        <w:t xml:space="preserve">nın səbəbləri daxili və xarici olur. </w:t>
      </w:r>
      <w:r w:rsidRPr="006B7E8B">
        <w:rPr>
          <w:rFonts w:ascii="Times New Roman" w:hAnsi="Times New Roman" w:cs="Times New Roman"/>
          <w:sz w:val="28"/>
          <w:szCs w:val="28"/>
          <w:lang w:val="az-Latn-AZ"/>
        </w:rPr>
        <w:t>Devalvasiya</w:t>
      </w:r>
      <w:r w:rsidR="00EC49ED" w:rsidRPr="006B7E8B">
        <w:rPr>
          <w:rFonts w:ascii="Times New Roman" w:hAnsi="Times New Roman" w:cs="Times New Roman"/>
          <w:sz w:val="28"/>
          <w:szCs w:val="28"/>
          <w:lang w:val="az-Latn-AZ"/>
        </w:rPr>
        <w:t>nın xarici səbəblərinə xarici ticarət və ödəni</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 xml:space="preserve"> balanslarının mənfi saldosu, dünya bazarında əlveri</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siz konyunktura, məsələn, ixrac olunan malların qiymətinin a</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ağı dü</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 xml:space="preserve">məsi və idxal olunan məhsulların qiymətinin artımı, həmçinin xarici borcun artması aiddir. </w:t>
      </w:r>
      <w:r w:rsidRPr="006B7E8B">
        <w:rPr>
          <w:rFonts w:ascii="Times New Roman" w:hAnsi="Times New Roman" w:cs="Times New Roman"/>
          <w:sz w:val="28"/>
          <w:szCs w:val="28"/>
          <w:lang w:val="az-Latn-AZ"/>
        </w:rPr>
        <w:t>Devalvasiya</w:t>
      </w:r>
      <w:r w:rsidR="00EC49ED" w:rsidRPr="006B7E8B">
        <w:rPr>
          <w:rFonts w:ascii="Times New Roman" w:hAnsi="Times New Roman" w:cs="Times New Roman"/>
          <w:sz w:val="28"/>
          <w:szCs w:val="28"/>
          <w:lang w:val="az-Latn-AZ"/>
        </w:rPr>
        <w:t>nın daxili səbəblər sırasına milli iqti</w:t>
      </w:r>
      <w:r w:rsidRPr="006B7E8B">
        <w:rPr>
          <w:rFonts w:ascii="Times New Roman" w:hAnsi="Times New Roman" w:cs="Times New Roman"/>
          <w:sz w:val="28"/>
          <w:szCs w:val="28"/>
          <w:lang w:val="az-Latn-AZ"/>
        </w:rPr>
        <w:t>sadi qurumların deformasiyası, i</w:t>
      </w:r>
      <w:r w:rsidR="00EC49ED" w:rsidRPr="006B7E8B">
        <w:rPr>
          <w:rFonts w:ascii="Times New Roman" w:hAnsi="Times New Roman" w:cs="Times New Roman"/>
          <w:sz w:val="28"/>
          <w:szCs w:val="28"/>
          <w:lang w:val="az-Latn-AZ"/>
        </w:rPr>
        <w:t>nvestisiyaların səmərəliliyinin a</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ağı dü</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məsi və</w:t>
      </w:r>
      <w:r w:rsidRPr="006B7E8B">
        <w:rPr>
          <w:rFonts w:ascii="Times New Roman" w:hAnsi="Times New Roman" w:cs="Times New Roman"/>
          <w:sz w:val="28"/>
          <w:szCs w:val="28"/>
          <w:lang w:val="az-Latn-AZ"/>
        </w:rPr>
        <w:t xml:space="preserve"> eyni zamanda artırılması, i</w:t>
      </w:r>
      <w:r w:rsidR="00EC49ED" w:rsidRPr="006B7E8B">
        <w:rPr>
          <w:rFonts w:ascii="Times New Roman" w:hAnsi="Times New Roman" w:cs="Times New Roman"/>
          <w:sz w:val="28"/>
          <w:szCs w:val="28"/>
          <w:lang w:val="az-Latn-AZ"/>
        </w:rPr>
        <w:t>stehlak sektoru sahələrinin qorunması, pul dövriyyəsi mexanizmində və idarəetmə sistemində nöqsanlar, antidevalvasiya  tənzimlənməsi olmaması aiddir.</w:t>
      </w:r>
    </w:p>
    <w:p w:rsid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xml:space="preserve">Bank sektorundakı böhran bir çox səbəbdən ötəri açıqlanmaqdadır. Bu səbəblərdən bəziləri bank sektorunun quruluşu ilə əlaqədar olsa da, əsl səbəb iqtisadiyyatdakı ana göstəricilərin qeyri-sabit olmasıdır. Bank sektorundakı böhran iki ana qrupda toplanır: makroiqtisadi və mikroekonomik. Makroiqtisadi qeyri-sabitlik, bank sektorunun kırılganlığının əsas səbəbidir. Varlıq qiymətləri, xüsusilə əmlak qiymətləri, faiz dərəcələrində kəskin yüksəliş və ya kurdaki dəyər itkisi və ya davam edən durğunluq, bank sektorunu də təsir edəcək. Əslində, ifadə edilən problemlər bir-biriylə əlaqəlidir. </w:t>
      </w:r>
    </w:p>
    <w:p w:rsid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xml:space="preserve">İqtisadiyyatın inkişafı əsnasında daxili makroiqtisadi pozulmalarla da karşılaşılmaktadır. Banklar, bu dövrlərdə optimist ətraf köməyi ilə yeni layihələr vermişdir. Bank sektorunda, yüksələn qiymət artımının bir nəticəsi olaraq iqtisadiyyatdakı dalğalanmalar artmaqdadır. İqtisadi geriləmə və iqtisadi faaliyetteki gərginlik, bankların karlılığı üzərində güclü bir mənfi təsirə malikdir. Ayrıca, bank fəaliyyəti son illərdə gedərək daha riskli hala gəlmişdir. Səhv rəhbərlik göstəriciləri bank böhranlarında vacib bir yerə malikdir. Ümumi olaraq, maliyyə sektor sürətli iqtisadi artım və bank sisteminin inkişafında əhəmiyyətli bir vasitədir. Banklar pul nəzarət üçün yalnız bir kanal deyil. Eyni zamanda, iqtisadiyyatın yenidən qurulmasında makroiqtisadi sabitliyin uzun müddətli davamlılığı olan bir sektordur. </w:t>
      </w:r>
    </w:p>
    <w:p w:rsid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Maliyyə sistem, fərdləri və şirkətlərin fondlarını məhsuldar investisiya imkanlarına çevirən bir kanaldır. Bu çevrilmənin sağlam təbiəti, maliyyə bazar iştirakçılarının investisiya imkanları haqqında doğru qərar verə bağlıdır.</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Real iqtisadiyyatda </w:t>
      </w:r>
      <w:r w:rsidR="00165E9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 xml:space="preserve">nın real səbəbləri </w:t>
      </w:r>
      <w:r w:rsidR="00165E91" w:rsidRPr="006B7E8B">
        <w:rPr>
          <w:rFonts w:ascii="Times New Roman" w:hAnsi="Times New Roman" w:cs="Times New Roman"/>
          <w:sz w:val="28"/>
          <w:szCs w:val="28"/>
          <w:lang w:val="az-Latn-AZ"/>
        </w:rPr>
        <w:t>a</w:t>
      </w:r>
      <w:r w:rsidR="00D31F94" w:rsidRPr="006B7E8B">
        <w:rPr>
          <w:rFonts w:ascii="Times New Roman" w:hAnsi="Times New Roman" w:cs="Times New Roman"/>
          <w:sz w:val="28"/>
          <w:szCs w:val="28"/>
          <w:lang w:val="az-Latn-AZ"/>
        </w:rPr>
        <w:t>şağıda göstərilir</w:t>
      </w:r>
      <w:r w:rsidR="00165E91" w:rsidRPr="006B7E8B">
        <w:rPr>
          <w:rFonts w:ascii="Times New Roman" w:hAnsi="Times New Roman" w:cs="Times New Roman"/>
          <w:sz w:val="28"/>
          <w:szCs w:val="28"/>
          <w:lang w:val="az-Latn-AZ"/>
        </w:rPr>
        <w:t>:</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Dövlət büdcəsinin kəsirliliyi və pul emissiyasının həddindan artıq, çox alması; </w:t>
      </w:r>
    </w:p>
    <w:p w:rsidR="005351F2"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İqtisadiyyatın hərbilə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dirilməsi və dövlətin hərbi xərclərinin artımı; </w:t>
      </w:r>
    </w:p>
    <w:p w:rsidR="005351F2"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Bazarların inhisarı və monopolistik qiymət qoyma;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af səviyyəsi və milli iqtisadiyyatın qeyri effektiv strukturu;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Hədsiz kredit ekspansiyası;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İdxal və ixrac mallarının qiymətinin artması;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Valyuta böhranları və valyutaların devalvasiyası;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Həddindən artıq vergi;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 Yüksək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gözləntiləri; </w:t>
      </w:r>
    </w:p>
    <w:p w:rsidR="00EC49ED"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Ticarət və tədiyyə balansının aktivlə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 milli valyutaya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ilən xarici valyutanın axını.</w:t>
      </w:r>
    </w:p>
    <w:p w:rsidR="006E1097" w:rsidRPr="006B7E8B" w:rsidRDefault="005351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Tarixən </w:t>
      </w:r>
      <w:r w:rsidR="0005259E"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birinci səbəbi</w:t>
      </w:r>
      <w:r w:rsidR="0005259E" w:rsidRPr="006B7E8B">
        <w:rPr>
          <w:rFonts w:ascii="Times New Roman" w:hAnsi="Times New Roman" w:cs="Times New Roman"/>
          <w:sz w:val="28"/>
          <w:szCs w:val="28"/>
          <w:lang w:val="az-Latn-AZ"/>
        </w:rPr>
        <w:t>nə</w:t>
      </w:r>
      <w:r w:rsidRPr="006B7E8B">
        <w:rPr>
          <w:rFonts w:ascii="Times New Roman" w:hAnsi="Times New Roman" w:cs="Times New Roman"/>
          <w:sz w:val="28"/>
          <w:szCs w:val="28"/>
          <w:lang w:val="az-Latn-AZ"/>
        </w:rPr>
        <w:t xml:space="preserve"> dövlət büdcələrinin kəsrliliyi və əlavə kağız pulların emissiyası</w:t>
      </w:r>
      <w:r w:rsidR="0005259E" w:rsidRPr="006B7E8B">
        <w:rPr>
          <w:rFonts w:ascii="Times New Roman" w:hAnsi="Times New Roman" w:cs="Times New Roman"/>
          <w:sz w:val="28"/>
          <w:szCs w:val="28"/>
          <w:lang w:val="az-Latn-AZ"/>
        </w:rPr>
        <w:t xml:space="preserve"> daxildir.</w:t>
      </w:r>
      <w:r w:rsidR="00EC49ED" w:rsidRPr="006B7E8B">
        <w:rPr>
          <w:rFonts w:ascii="Times New Roman" w:hAnsi="Times New Roman" w:cs="Times New Roman"/>
          <w:sz w:val="28"/>
          <w:szCs w:val="28"/>
          <w:lang w:val="az-Latn-AZ"/>
        </w:rPr>
        <w:t xml:space="preserve"> </w:t>
      </w:r>
      <w:r w:rsidR="0005259E" w:rsidRPr="006B7E8B">
        <w:rPr>
          <w:rFonts w:ascii="Times New Roman" w:hAnsi="Times New Roman" w:cs="Times New Roman"/>
          <w:sz w:val="28"/>
          <w:szCs w:val="28"/>
          <w:lang w:val="az-Latn-AZ"/>
        </w:rPr>
        <w:t>İ</w:t>
      </w:r>
      <w:r w:rsidR="00EC49ED" w:rsidRPr="006B7E8B">
        <w:rPr>
          <w:rFonts w:ascii="Times New Roman" w:hAnsi="Times New Roman" w:cs="Times New Roman"/>
          <w:sz w:val="28"/>
          <w:szCs w:val="28"/>
          <w:lang w:val="az-Latn-AZ"/>
        </w:rPr>
        <w:t>kinci səbəb kimi iqtisadiyyatın hərbilə</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dirilməsi və dövlətin hərbi xərclərinin artımı qeyd edilir. O, dövlət büdcəsinin kəsri ilə qırılmaz surətdə bağlıdır. Müasir iqtisadiyyatda böyük əhəmiyyəti olduğuna görə biz onu müstəqil səbəb kimi ayırırıq.</w:t>
      </w:r>
      <w:r w:rsidR="0005259E" w:rsidRPr="006B7E8B">
        <w:rPr>
          <w:rFonts w:ascii="Times New Roman" w:hAnsi="Times New Roman" w:cs="Times New Roman"/>
          <w:sz w:val="28"/>
          <w:szCs w:val="28"/>
          <w:lang w:val="az-Latn-AZ"/>
        </w:rPr>
        <w:t xml:space="preserve"> İ</w:t>
      </w:r>
      <w:r w:rsidR="00EC49ED" w:rsidRPr="006B7E8B">
        <w:rPr>
          <w:rFonts w:ascii="Times New Roman" w:hAnsi="Times New Roman" w:cs="Times New Roman"/>
          <w:sz w:val="28"/>
          <w:szCs w:val="28"/>
          <w:lang w:val="az-Latn-AZ"/>
        </w:rPr>
        <w:t>qtisadiyyatın hərbilə</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dirilməsinin təsir mexanizmi devalvasiya ya öz təsirini göstərir. Bunlardan birincisi odur ki, hətta sülh dövründə ordunun saxlanmasına böyük maddi-texniki, maliyyə və insan resursları tələb olunur, real iqtisadiyyata istehsal səmərəsi vermirlər. Bir çox müasir hərbi texnikanın 1 kiloqramının dəyəri 1 kiloqram qızıldan daha yüksəkdir. Həm də hərbi texnika mənəvi cəhətdən tez köhnəlir və yenisi, daha mükəmməli və beləliklə də daha bahalısı ilə dəyi</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 xml:space="preserve">dirilməli olur. İkincisi, nəinki ordunun </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əxsi heyəti, həm də hərbi texnika və silahların istehsalında çalı</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an qulluqçular maa</w:t>
      </w:r>
      <w:r w:rsidR="007F7AC2" w:rsidRPr="006B7E8B">
        <w:rPr>
          <w:rFonts w:ascii="Times New Roman" w:hAnsi="Times New Roman" w:cs="Times New Roman"/>
          <w:sz w:val="28"/>
          <w:szCs w:val="28"/>
          <w:lang w:val="az-Latn-AZ"/>
        </w:rPr>
        <w:t>ş</w:t>
      </w:r>
      <w:r w:rsidR="00EC49ED" w:rsidRPr="006B7E8B">
        <w:rPr>
          <w:rFonts w:ascii="Times New Roman" w:hAnsi="Times New Roman" w:cs="Times New Roman"/>
          <w:sz w:val="28"/>
          <w:szCs w:val="28"/>
          <w:lang w:val="az-Latn-AZ"/>
        </w:rPr>
        <w:t xml:space="preserve"> və ya pul təminatı alır, istehlak malları bazarına tələbat göstərirlər, halbuki onların əməyinin nəticələri poliqonlarda məhv edilir, silinir və beləliklə maddi istehsala heçnə vermirlər.</w:t>
      </w:r>
    </w:p>
    <w:p w:rsidR="00EC49ED" w:rsidRPr="006B7E8B" w:rsidRDefault="00EC49E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Müasir </w:t>
      </w:r>
      <w:r w:rsidR="0005259E"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vacib səbəbi bankların hədsiz kredit ekspansiyası xüsusilə də maddi istehsalın həcminin geni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lənməsi adekvat olmamasıdır. Məsələ ondadır ki, bugün dövlət büdcəsinin kəsri əlavə pul emissiyası ilə deyil, dövlət borclarının, dövlət borc öhdəliklərinin buraxılı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vasitəsilə örtülür. Ayrı-ayrı dövrlərdə dövlət milli kredit ehtiyatlarını istehsalçılardan alıb bazara pul çıxararaq üçdə iki hissəsindən yarısına qədərini öz əlinə keçirir.</w:t>
      </w:r>
    </w:p>
    <w:p w:rsidR="00EC49ED" w:rsidRPr="006B7E8B" w:rsidRDefault="00EC49E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Devalvasiya  proseslərinin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afında xüsusilə Azərbaycanda vacib rolu aktiv ticarət balansı hesabına xarici valyutanın axını tutur. Bu növ "idxal olunan" devalvasiya  əmtəə və pul axınlarının tarazlığının pozulması nəticəsində yaranır. Aktiv ticarət balansı göstərir ki, ölkədən çıxan əmtəə kütləsi həcmində ölkəyə xarici valyuta gəlir, Mərkəzi bank onu alaraq dövriyyəyə milli valyutanı buraxır.</w:t>
      </w:r>
    </w:p>
    <w:p w:rsidR="00956E31" w:rsidRPr="006B7E8B" w:rsidRDefault="00956E31" w:rsidP="006B7E8B">
      <w:pPr>
        <w:pStyle w:val="Heading2"/>
        <w:numPr>
          <w:ilvl w:val="1"/>
          <w:numId w:val="32"/>
        </w:numPr>
        <w:spacing w:line="360" w:lineRule="auto"/>
        <w:rPr>
          <w:lang w:val="az-Latn-AZ"/>
        </w:rPr>
      </w:pPr>
      <w:bookmarkStart w:id="7" w:name="_Toc8806573"/>
      <w:bookmarkStart w:id="8" w:name="_Toc8806916"/>
      <w:r w:rsidRPr="006B7E8B">
        <w:rPr>
          <w:lang w:val="az-Latn-AZ"/>
        </w:rPr>
        <w:t>Dev</w:t>
      </w:r>
      <w:r w:rsidR="005331CB" w:rsidRPr="006B7E8B">
        <w:rPr>
          <w:lang w:val="az-Latn-AZ"/>
        </w:rPr>
        <w:t>a</w:t>
      </w:r>
      <w:r w:rsidRPr="006B7E8B">
        <w:rPr>
          <w:lang w:val="az-Latn-AZ"/>
        </w:rPr>
        <w:t>lvasiya anlayı</w:t>
      </w:r>
      <w:r w:rsidR="007F7AC2" w:rsidRPr="006B7E8B">
        <w:rPr>
          <w:lang w:val="az-Latn-AZ"/>
        </w:rPr>
        <w:t>ş</w:t>
      </w:r>
      <w:r w:rsidRPr="006B7E8B">
        <w:rPr>
          <w:lang w:val="az-Latn-AZ"/>
        </w:rPr>
        <w:t>ının nəzəri və əsasları</w:t>
      </w:r>
      <w:bookmarkEnd w:id="7"/>
      <w:bookmarkEnd w:id="8"/>
    </w:p>
    <w:p w:rsidR="00953AB4" w:rsidRDefault="006E1097"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Maliyyə böhranları </w:t>
      </w:r>
      <w:r w:rsidR="00197B99" w:rsidRPr="006B7E8B">
        <w:rPr>
          <w:rFonts w:ascii="Times New Roman" w:hAnsi="Times New Roman" w:cs="Times New Roman"/>
          <w:sz w:val="28"/>
          <w:szCs w:val="28"/>
          <w:lang w:val="az-Latn-AZ"/>
        </w:rPr>
        <w:t>inkişaf etmiş və ya inkişafda olan bütün ölkələrdə</w:t>
      </w:r>
      <w:r w:rsidRPr="006B7E8B">
        <w:rPr>
          <w:rFonts w:ascii="Times New Roman" w:hAnsi="Times New Roman" w:cs="Times New Roman"/>
          <w:sz w:val="28"/>
          <w:szCs w:val="28"/>
          <w:lang w:val="az-Latn-AZ"/>
        </w:rPr>
        <w:t xml:space="preserve"> izlənilir ki, bu da həmin böhranların </w:t>
      </w:r>
      <w:r w:rsidR="00197B99" w:rsidRPr="006B7E8B">
        <w:rPr>
          <w:rFonts w:ascii="Times New Roman" w:hAnsi="Times New Roman" w:cs="Times New Roman"/>
          <w:sz w:val="28"/>
          <w:szCs w:val="28"/>
          <w:lang w:val="az-Latn-AZ"/>
        </w:rPr>
        <w:t>tərəqqi</w:t>
      </w:r>
      <w:r w:rsidRPr="006B7E8B">
        <w:rPr>
          <w:rFonts w:ascii="Times New Roman" w:hAnsi="Times New Roman" w:cs="Times New Roman"/>
          <w:sz w:val="28"/>
          <w:szCs w:val="28"/>
          <w:lang w:val="az-Latn-AZ"/>
        </w:rPr>
        <w:t xml:space="preserve"> </w:t>
      </w:r>
      <w:r w:rsidR="00197B99" w:rsidRPr="006B7E8B">
        <w:rPr>
          <w:rFonts w:ascii="Times New Roman" w:hAnsi="Times New Roman" w:cs="Times New Roman"/>
          <w:sz w:val="28"/>
          <w:szCs w:val="28"/>
          <w:lang w:val="az-Latn-AZ"/>
        </w:rPr>
        <w:t>xarakteristikaları</w:t>
      </w:r>
      <w:r w:rsidRPr="006B7E8B">
        <w:rPr>
          <w:rFonts w:ascii="Times New Roman" w:hAnsi="Times New Roman" w:cs="Times New Roman"/>
          <w:sz w:val="28"/>
          <w:szCs w:val="28"/>
          <w:lang w:val="az-Latn-AZ"/>
        </w:rPr>
        <w:t xml:space="preserve">, iqtisadi və maliyyə </w:t>
      </w:r>
      <w:r w:rsidR="00197B99" w:rsidRPr="006B7E8B">
        <w:rPr>
          <w:rFonts w:ascii="Times New Roman" w:hAnsi="Times New Roman" w:cs="Times New Roman"/>
          <w:sz w:val="28"/>
          <w:szCs w:val="28"/>
          <w:lang w:val="az-Latn-AZ"/>
        </w:rPr>
        <w:t>şəbəkələrinin</w:t>
      </w:r>
      <w:r w:rsidRPr="006B7E8B">
        <w:rPr>
          <w:rFonts w:ascii="Times New Roman" w:hAnsi="Times New Roman" w:cs="Times New Roman"/>
          <w:sz w:val="28"/>
          <w:szCs w:val="28"/>
          <w:lang w:val="az-Latn-AZ"/>
        </w:rPr>
        <w:t xml:space="preserve"> </w:t>
      </w:r>
      <w:r w:rsidR="00197B99" w:rsidRPr="006B7E8B">
        <w:rPr>
          <w:rFonts w:ascii="Times New Roman" w:hAnsi="Times New Roman" w:cs="Times New Roman"/>
          <w:sz w:val="28"/>
          <w:szCs w:val="28"/>
          <w:lang w:val="az-Latn-AZ"/>
        </w:rPr>
        <w:t>quruluşu</w:t>
      </w:r>
      <w:r w:rsidRPr="006B7E8B">
        <w:rPr>
          <w:rFonts w:ascii="Times New Roman" w:hAnsi="Times New Roman" w:cs="Times New Roman"/>
          <w:sz w:val="28"/>
          <w:szCs w:val="28"/>
          <w:lang w:val="az-Latn-AZ"/>
        </w:rPr>
        <w:t xml:space="preserve"> ilə </w:t>
      </w:r>
      <w:r w:rsidR="00197B99" w:rsidRPr="006B7E8B">
        <w:rPr>
          <w:rFonts w:ascii="Times New Roman" w:hAnsi="Times New Roman" w:cs="Times New Roman"/>
          <w:sz w:val="28"/>
          <w:szCs w:val="28"/>
          <w:lang w:val="az-Latn-AZ"/>
        </w:rPr>
        <w:t xml:space="preserve">məhdudlaşdırılmış </w:t>
      </w:r>
      <w:r w:rsidRPr="006B7E8B">
        <w:rPr>
          <w:rFonts w:ascii="Times New Roman" w:hAnsi="Times New Roman" w:cs="Times New Roman"/>
          <w:sz w:val="28"/>
          <w:szCs w:val="28"/>
          <w:lang w:val="az-Latn-AZ"/>
        </w:rPr>
        <w:t xml:space="preserve">olur. </w:t>
      </w:r>
      <w:r w:rsidR="00953AB4" w:rsidRPr="00953AB4">
        <w:rPr>
          <w:rFonts w:ascii="Times New Roman" w:hAnsi="Times New Roman" w:cs="Times New Roman"/>
          <w:sz w:val="28"/>
          <w:szCs w:val="28"/>
          <w:lang w:val="az-Latn-AZ"/>
        </w:rPr>
        <w:t xml:space="preserve">Dünyadakı böyük maliyyə böhranları təyin nəzəriyyələri altı başlıq altında yığa bilərik: </w:t>
      </w:r>
    </w:p>
    <w:p w:rsidR="00953AB4"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Vaxtaşırı borc ödəniş. Fischer, Minski'nin iqtisadiyyatına görə, həm şirkətlərin, həm də ölkələrin sürətli böyüməsində periodik bir borc təcrübəsi var. Bu borc təcrübəsi maliyyə böhranların ortaya çıxmasında böyük rol oynayır; </w:t>
      </w:r>
    </w:p>
    <w:p w:rsidR="00953AB4"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Bankçılıqda böhran. Fridman və Kagan kimi parasalcıların təklif etdiyi bu nəzəriyyəyə görə, olduqca dəyər biçilmiş bank sektoru sərtləşmiş vəziyyətdə. Bu vəziyyətdə, dar pul siyasətinin iqtisadi fəaliyyət üzərindəki təsiri azalır; </w:t>
      </w:r>
    </w:p>
    <w:p w:rsidR="00953AB4"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Şüurlu nəzəriyyə. Flud, Qerber, Uotson və Krikman kimi iqtisadçılar üçün ən əhəmiyyətli faktor olaraq qiymət dalgalanmalarına bağlı gözləntilər;</w:t>
      </w:r>
    </w:p>
    <w:p w:rsidR="00953AB4" w:rsidRDefault="00953AB4" w:rsidP="00953AB4">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Qeyri-müəyyənlik nəzəriyyəsi. Bu nəzəriyyə, risk və gələcəkdəki qazanclar arasında qərar vermənin əhəmiyyətini açıqlayır. Məktə</w:t>
      </w:r>
      <w:r>
        <w:rPr>
          <w:rFonts w:ascii="Times New Roman" w:hAnsi="Times New Roman" w:cs="Times New Roman"/>
          <w:sz w:val="28"/>
          <w:szCs w:val="28"/>
          <w:lang w:val="az-Latn-AZ"/>
        </w:rPr>
        <w:t xml:space="preserve">b iqtisadçıları - Nerington </w:t>
      </w:r>
      <w:r w:rsidRPr="00953AB4">
        <w:rPr>
          <w:rFonts w:ascii="Times New Roman" w:hAnsi="Times New Roman" w:cs="Times New Roman"/>
          <w:sz w:val="28"/>
          <w:szCs w:val="28"/>
          <w:lang w:val="az-Latn-AZ"/>
        </w:rPr>
        <w:t>dakı maliyyə böhranların səbəbi Molozer, qeyri-müəyyənlik və qeyri-müəyyənliyin gələcəyidir; </w:t>
      </w:r>
    </w:p>
    <w:p w:rsid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Kredit nəzəriyyəsi. Kredit hacimlerindeki eniş, kredit tələb ani bir artıma səbəb olur; </w:t>
      </w:r>
    </w:p>
    <w:p w:rsid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 Davis tərəfindən inkişaf etdirilən maliyyə bazar quruluşu nəzəriyyəsi, qaydaların düzenlenmemesine, bazara daxilolma önündəki maneələrin qaldırılmasına, yeni bazarların inkişaf etdirilməsinə və digər faktorlara əsaslanır. </w:t>
      </w:r>
    </w:p>
    <w:p w:rsidR="006E1097" w:rsidRPr="00953AB4" w:rsidRDefault="00953AB4"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953AB4">
        <w:rPr>
          <w:rFonts w:ascii="Times New Roman" w:hAnsi="Times New Roman" w:cs="Times New Roman"/>
          <w:sz w:val="28"/>
          <w:szCs w:val="28"/>
          <w:lang w:val="az-Latn-AZ"/>
        </w:rPr>
        <w:t>Bazardakı girdi maneələrinin azaldılması, rəqabətçi bir artıma səbəb ola bilər, bu da kredit tələb bir enişə və kredit standartlarında bir enişə yol aça bilər.</w:t>
      </w:r>
      <w:r w:rsidR="006E1097" w:rsidRPr="00953AB4">
        <w:rPr>
          <w:rStyle w:val="FootnoteReference"/>
          <w:rFonts w:ascii="Times New Roman" w:hAnsi="Times New Roman" w:cs="Times New Roman"/>
          <w:sz w:val="28"/>
          <w:szCs w:val="28"/>
          <w:lang w:val="az-Latn-AZ"/>
        </w:rPr>
        <w:footnoteReference w:id="1"/>
      </w:r>
      <w:r w:rsidR="006E1097" w:rsidRPr="00953AB4">
        <w:rPr>
          <w:rFonts w:ascii="Times New Roman" w:hAnsi="Times New Roman" w:cs="Times New Roman"/>
          <w:sz w:val="28"/>
          <w:szCs w:val="28"/>
          <w:lang w:val="az-Latn-AZ"/>
        </w:rPr>
        <w:t xml:space="preserve">. </w:t>
      </w:r>
    </w:p>
    <w:p w:rsidR="00BD4ECD" w:rsidRPr="006B7E8B" w:rsidRDefault="00BD4EC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Böhran, hər hansı bir ictimai inkişaf hadisə olaraq müəyyən xüsusiyyətlərə malikdir. İqtisadi böhranın özü, istehsal və istehlakın kəskin çatışmazlığı ilə ifadə edilir. Bu, bütün iqtisadi sistemin normal işləməsinə mane olur və ödəmə qabiliyyətli məcmu tələbat, kütləvi iş həcminin artması, işsizliyin artması və ictimai sərmayəsinin geri çevrilməsi məzmunundakı digər sosial-iqtisadi təhlükəli vəziyyətlərdə tələb artımı ilə izlənir. İqtisadi böhranın periodikliyi və ifadə mərhələləri, iqtisadi inkişaf prosesinin periodik xarakterini xarakterizə edir; bu da, yenidən istehsal qanununu, istehsalın yerini alması və istehsalın yüksəlişini əks etdirir.</w:t>
      </w:r>
    </w:p>
    <w:p w:rsidR="00BD4ECD" w:rsidRPr="006B7E8B" w:rsidRDefault="00BD4ECD"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Bu problem K.Marks tərəfindən daha dərin və daha ətraflı bir şəkildə araşdırıldı. İqtisadi böhran ümumiyyətlə maliyyə böhranına zəmin yaradır. İqtisadi böhranın səbəbləri </w:t>
      </w:r>
      <w:r w:rsidR="009F18D2" w:rsidRPr="006B7E8B">
        <w:rPr>
          <w:rFonts w:ascii="Times New Roman" w:hAnsi="Times New Roman" w:cs="Times New Roman"/>
          <w:sz w:val="28"/>
          <w:szCs w:val="28"/>
          <w:lang w:val="az-Latn-AZ"/>
        </w:rPr>
        <w:t xml:space="preserve">təkrar istehsal prosesində mövcud olan </w:t>
      </w:r>
      <w:r w:rsidRPr="006B7E8B">
        <w:rPr>
          <w:rFonts w:ascii="Times New Roman" w:hAnsi="Times New Roman" w:cs="Times New Roman"/>
          <w:sz w:val="28"/>
          <w:szCs w:val="28"/>
          <w:lang w:val="az-Latn-AZ"/>
        </w:rPr>
        <w:t>ziddiyyətlə</w:t>
      </w:r>
      <w:r w:rsidR="009F18D2" w:rsidRPr="006B7E8B">
        <w:rPr>
          <w:rFonts w:ascii="Times New Roman" w:hAnsi="Times New Roman" w:cs="Times New Roman"/>
          <w:sz w:val="28"/>
          <w:szCs w:val="28"/>
          <w:lang w:val="az-Latn-AZ"/>
        </w:rPr>
        <w:t>rlə (</w:t>
      </w:r>
      <w:r w:rsidRPr="006B7E8B">
        <w:rPr>
          <w:rFonts w:ascii="Times New Roman" w:hAnsi="Times New Roman" w:cs="Times New Roman"/>
          <w:sz w:val="28"/>
          <w:szCs w:val="28"/>
          <w:lang w:val="az-Latn-AZ"/>
        </w:rPr>
        <w:t>istehsal, paylama, dəyişmə və istehlak</w:t>
      </w:r>
      <w:r w:rsidR="009F18D2" w:rsidRPr="006B7E8B">
        <w:rPr>
          <w:rFonts w:ascii="Times New Roman" w:hAnsi="Times New Roman" w:cs="Times New Roman"/>
          <w:sz w:val="28"/>
          <w:szCs w:val="28"/>
          <w:lang w:val="az-Latn-AZ"/>
        </w:rPr>
        <w:t xml:space="preserve">) əlaqələndirilir </w:t>
      </w:r>
      <w:r w:rsidRPr="006B7E8B">
        <w:rPr>
          <w:rFonts w:ascii="Times New Roman" w:hAnsi="Times New Roman" w:cs="Times New Roman"/>
          <w:sz w:val="28"/>
          <w:szCs w:val="28"/>
          <w:lang w:val="az-Latn-AZ"/>
        </w:rPr>
        <w:t>. K.Marks, böhranların səbəblərini ortaya çıxardı, dayanıklılıklarını haqlı çıxardı və böhran inkişaf nəzəriyyəsinin təməllərini atdı. İqtisadi böhran nəzəriyyələri, varlığının bir çox səbəbi və faktorunu ortaya qoymaqdadır.Bu səbəblə, neoklasiklik və liberalizm nümayəndələri böhranların əsas səbəbinin tam təşəkküllü məhsulların olmaması olduğuna inanmaqdadır. Bunu istehlak üçün bir xəbərdarlıqçı olaraq görürlər.</w:t>
      </w:r>
    </w:p>
    <w:p w:rsidR="00351506" w:rsidRDefault="00351506"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K. Marks</w:t>
      </w:r>
      <w:r w:rsidRPr="00351506">
        <w:rPr>
          <w:rFonts w:ascii="Times New Roman" w:hAnsi="Times New Roman" w:cs="Times New Roman"/>
          <w:sz w:val="28"/>
          <w:szCs w:val="28"/>
          <w:lang w:val="az-Latn-AZ"/>
        </w:rPr>
        <w:t>a görə, tsiklik iqtisadiyyatın və iqtisadi böhranların tsiklik dövrünün əsas səbəbi, istehsalın ictimai xarakteri ilə nəticələrinin kişiselleştirilmesi arasındakı ziddiyyətlərdir.Ona görə, kapitalizm şəraitində böhranın öhdəsindən gəlmək çətindir. Tanınmış iqtisadçı, Nobel mükafatlı V.Leontyev bunları yazdı: Cizgi dövr nəzəriyyəsi şübhəsiz Marks ın siyasi iqtisadiyyatına bağlı. </w:t>
      </w:r>
      <w:r>
        <w:rPr>
          <w:rFonts w:ascii="Times New Roman" w:hAnsi="Times New Roman" w:cs="Times New Roman"/>
          <w:sz w:val="28"/>
          <w:szCs w:val="28"/>
          <w:lang w:val="az-Latn-AZ"/>
        </w:rPr>
        <w:t>“Kapitalın” üç cildinin</w:t>
      </w:r>
      <w:r w:rsidRPr="00351506">
        <w:rPr>
          <w:rFonts w:ascii="Times New Roman" w:hAnsi="Times New Roman" w:cs="Times New Roman"/>
          <w:sz w:val="28"/>
          <w:szCs w:val="28"/>
          <w:lang w:val="az-Latn-AZ"/>
        </w:rPr>
        <w:t>, iqtisadi müzakirələrin ön planına çıxan hər hansı bir kağız parçasından daha çox olduğunu söyləmək səhv olar.  Neoklasizm və liberalizmin iqtisad nəzəriyyəsindəki nümayəndələri, böhranın qaynağını və səbəblərini kapitalizmin təbiətiylə ilişkilendirmiyor. Bir çoxu böhranın səbəbini görür, çünki əhali məhsulları tam olaraq draining olmadan.</w:t>
      </w:r>
    </w:p>
    <w:p w:rsidR="006E1097" w:rsidRPr="006B7E8B" w:rsidRDefault="009F18D2" w:rsidP="0035150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Böhranın səbəbini iqtisadi inkişaf və ya bazarın "bərabərsizliyi" ndə nisbətsiz olaraq görən iqtisadçılar Marksist mövqeyə daha yaxındır. Fikirlərinə görə, böhranlar, sahələr və sahibkarların gözlənilməz hərəkətləri arasında düz bir əlaqə olmamasından qaynaqlanır və bu da qeyri-kafi, peşəkarlıqla olmayan rəhbərliyin nəticəsidir. </w:t>
      </w:r>
      <w:r w:rsidR="006E1097" w:rsidRPr="006B7E8B">
        <w:rPr>
          <w:rFonts w:ascii="Times New Roman" w:hAnsi="Times New Roman" w:cs="Times New Roman"/>
          <w:sz w:val="28"/>
          <w:szCs w:val="28"/>
          <w:lang w:val="az-Latn-AZ"/>
        </w:rPr>
        <w:t xml:space="preserve">“Qeyri-tarazlıq” nəzəriyyəsi böhranlara </w:t>
      </w:r>
      <w:r w:rsidR="00351506" w:rsidRPr="00351506">
        <w:rPr>
          <w:rFonts w:ascii="Times New Roman" w:hAnsi="Times New Roman" w:cs="Times New Roman"/>
          <w:sz w:val="28"/>
          <w:szCs w:val="28"/>
          <w:lang w:val="az-Latn-AZ"/>
        </w:rPr>
        <w:t>xarici (siyasi, demoqrafik, təbii) şərtlərin törədilməsi kimi digər məşhur görüşlərə bağlıdır. Bazardakı qurtuluş və dövlət müdaxiləsinin dəstəkçisi olan iqtisadçı F. Hayyen ilə mübarizə, həddindən artıq istehsal böhranlarının dövlət fondlarından (ucuz kreditlər, tələb və s. Kimi) qaynaqlandığına inanırlar.</w:t>
      </w:r>
      <w:r w:rsidR="00351506">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Böhran psixoloji nəzəriyyədə də var. Ona görə, hər bir döşəmə üçün investisiya olan tutumu şəkilləndirən psixoloji cədvəlin xüsusiyyətidir.</w:t>
      </w:r>
      <w:r w:rsidR="003112C0">
        <w:rPr>
          <w:rFonts w:ascii="Times New Roman" w:hAnsi="Times New Roman" w:cs="Times New Roman"/>
          <w:sz w:val="28"/>
          <w:szCs w:val="28"/>
          <w:lang w:val="az-Latn-AZ"/>
        </w:rPr>
        <w:t xml:space="preserve"> </w:t>
      </w:r>
      <w:r w:rsidR="006E1097" w:rsidRPr="006B7E8B">
        <w:rPr>
          <w:rFonts w:ascii="Times New Roman" w:hAnsi="Times New Roman" w:cs="Times New Roman"/>
          <w:sz w:val="28"/>
          <w:szCs w:val="28"/>
          <w:lang w:val="az-Latn-AZ"/>
        </w:rPr>
        <w:t>Böhran vəziyyətinin çaxna</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ması və nizamsızlığı kapital qoyulu</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 xml:space="preserve">larının durğunluğuna gətirib çıxarır, tərəqqi </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əraitində eyforiya “dəyi</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ən vəziyyət” həyəcanını stimulla</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dırır və bunlar investisiya dövrünün qeyri-müntəzəmliyini tə</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kil edirlər.</w:t>
      </w:r>
    </w:p>
    <w:p w:rsidR="003112C0" w:rsidRDefault="00370ED3"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w:t>
      </w:r>
      <w:r w:rsidR="006E1097" w:rsidRPr="006B7E8B">
        <w:rPr>
          <w:rFonts w:ascii="Times New Roman" w:hAnsi="Times New Roman" w:cs="Times New Roman"/>
          <w:sz w:val="28"/>
          <w:szCs w:val="28"/>
          <w:lang w:val="az-Latn-AZ"/>
        </w:rPr>
        <w:t>qtisadiyyat elmi iqtisadi dövrlə</w:t>
      </w:r>
      <w:r w:rsidR="00553E8B" w:rsidRPr="006B7E8B">
        <w:rPr>
          <w:rFonts w:ascii="Times New Roman" w:hAnsi="Times New Roman" w:cs="Times New Roman"/>
          <w:sz w:val="28"/>
          <w:szCs w:val="28"/>
          <w:lang w:val="az-Latn-AZ"/>
        </w:rPr>
        <w:t xml:space="preserve">rin </w:t>
      </w:r>
      <w:r w:rsidR="006E1097" w:rsidRPr="006B7E8B">
        <w:rPr>
          <w:rFonts w:ascii="Times New Roman" w:hAnsi="Times New Roman" w:cs="Times New Roman"/>
          <w:sz w:val="28"/>
          <w:szCs w:val="28"/>
          <w:lang w:val="az-Latn-AZ"/>
        </w:rPr>
        <w:t>və böhranların səbəblərini izah edən bir sıra müxtəlif nəzəriyyələr i</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ləyib hazırlamı</w:t>
      </w:r>
      <w:r w:rsidR="007F7AC2" w:rsidRPr="006B7E8B">
        <w:rPr>
          <w:rFonts w:ascii="Times New Roman" w:hAnsi="Times New Roman" w:cs="Times New Roman"/>
          <w:sz w:val="28"/>
          <w:szCs w:val="28"/>
          <w:lang w:val="az-Latn-AZ"/>
        </w:rPr>
        <w:t>ş</w:t>
      </w:r>
      <w:r w:rsidR="006E1097" w:rsidRPr="006B7E8B">
        <w:rPr>
          <w:rFonts w:ascii="Times New Roman" w:hAnsi="Times New Roman" w:cs="Times New Roman"/>
          <w:sz w:val="28"/>
          <w:szCs w:val="28"/>
          <w:lang w:val="az-Latn-AZ"/>
        </w:rPr>
        <w:t>dır</w:t>
      </w:r>
      <w:r w:rsidR="003112C0">
        <w:rPr>
          <w:rFonts w:ascii="Times New Roman" w:hAnsi="Times New Roman" w:cs="Times New Roman"/>
          <w:sz w:val="28"/>
          <w:szCs w:val="28"/>
          <w:lang w:val="az-Latn-AZ"/>
        </w:rPr>
        <w:t xml:space="preserve">. </w:t>
      </w:r>
      <w:r w:rsidR="003112C0" w:rsidRPr="003112C0">
        <w:rPr>
          <w:rFonts w:ascii="Times New Roman" w:hAnsi="Times New Roman" w:cs="Times New Roman"/>
          <w:sz w:val="28"/>
          <w:szCs w:val="28"/>
          <w:lang w:val="az-Latn-AZ"/>
        </w:rPr>
        <w:t xml:space="preserve">Tanınmış iqtisadçı P.Samuelson, dövrlərin və böhran nəzəriyyələrinin əhəmiyyətini vurğulayaraq bu nəzəriyyələri yekunlaşdırır: </w:t>
      </w:r>
    </w:p>
    <w:p w:rsidR="003112C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1. Bank kredisinin genişlənməsini (yayılmasını) açıqlayan pul böhranı nəzəriyyəsi; </w:t>
      </w:r>
    </w:p>
    <w:p w:rsidR="003112C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2. Istehsal prosesində əhəmiyyətli yeniliklərin tanıtılmasını təsvir edən yenilik nəzəriyyəsi (squasher, Hansen); </w:t>
      </w:r>
    </w:p>
    <w:p w:rsidR="003112C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3. Dövrü, qeyri-sabitlik dalğası və xalqın optimizmi dalğası nəticəsində təyin psixoloji nəzəriyyə (Pique, Beckot, və s.); </w:t>
      </w:r>
    </w:p>
    <w:p w:rsidR="003112C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4. Zəngin və anlayışlı insanlar tərəfindən qazanılan gəlir miqdarına nisbətən, çağın səbəbi olan tam tüketmeyen nəzəriyyəsinin nəzəriyyəsi (Qobson, Foster, Kitiips, vs.); </w:t>
      </w:r>
    </w:p>
    <w:p w:rsidR="003112C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5. Həddindən artıq investisiya nəzəriyyəsi - (Mizes və digərləri); </w:t>
      </w:r>
    </w:p>
    <w:p w:rsidR="00047AA0" w:rsidRDefault="003112C0" w:rsidP="003112C0">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3112C0">
        <w:rPr>
          <w:rFonts w:ascii="Times New Roman" w:hAnsi="Times New Roman" w:cs="Times New Roman"/>
          <w:sz w:val="28"/>
          <w:szCs w:val="28"/>
          <w:lang w:val="az-Latn-AZ"/>
        </w:rPr>
        <w:t>6. Günəş Ləkələri - Hava - Məhsul nəzəriyyəsi (Covlis, Moore). P. Kubman və M.Obstfeld, Dünya Bankı, S</w:t>
      </w:r>
      <w:r>
        <w:rPr>
          <w:rFonts w:ascii="Times New Roman" w:hAnsi="Times New Roman" w:cs="Times New Roman"/>
          <w:sz w:val="28"/>
          <w:szCs w:val="28"/>
          <w:lang w:val="az-Latn-AZ"/>
        </w:rPr>
        <w:t>.</w:t>
      </w:r>
      <w:r w:rsidRPr="003112C0">
        <w:rPr>
          <w:rFonts w:ascii="Times New Roman" w:hAnsi="Times New Roman" w:cs="Times New Roman"/>
          <w:sz w:val="28"/>
          <w:szCs w:val="28"/>
          <w:lang w:val="az-Latn-AZ"/>
        </w:rPr>
        <w:t>A</w:t>
      </w:r>
      <w:r>
        <w:rPr>
          <w:rFonts w:ascii="Times New Roman" w:hAnsi="Times New Roman" w:cs="Times New Roman"/>
          <w:sz w:val="28"/>
          <w:szCs w:val="28"/>
          <w:lang w:val="az-Latn-AZ"/>
        </w:rPr>
        <w:t>.</w:t>
      </w:r>
      <w:r w:rsidRPr="003112C0">
        <w:rPr>
          <w:rFonts w:ascii="Times New Roman" w:hAnsi="Times New Roman" w:cs="Times New Roman"/>
          <w:sz w:val="28"/>
          <w:szCs w:val="28"/>
          <w:lang w:val="az-Latn-AZ"/>
        </w:rPr>
        <w:t>Bilinyak, Z</w:t>
      </w:r>
      <w:r>
        <w:rPr>
          <w:rFonts w:ascii="Times New Roman" w:hAnsi="Times New Roman" w:cs="Times New Roman"/>
          <w:sz w:val="28"/>
          <w:szCs w:val="28"/>
          <w:lang w:val="az-Latn-AZ"/>
        </w:rPr>
        <w:t>.</w:t>
      </w:r>
      <w:r w:rsidRPr="003112C0">
        <w:rPr>
          <w:rFonts w:ascii="Times New Roman" w:hAnsi="Times New Roman" w:cs="Times New Roman"/>
          <w:sz w:val="28"/>
          <w:szCs w:val="28"/>
          <w:lang w:val="az-Latn-AZ"/>
        </w:rPr>
        <w:t>F</w:t>
      </w:r>
      <w:r>
        <w:rPr>
          <w:rFonts w:ascii="Times New Roman" w:hAnsi="Times New Roman" w:cs="Times New Roman"/>
          <w:sz w:val="28"/>
          <w:szCs w:val="28"/>
          <w:lang w:val="az-Latn-AZ"/>
        </w:rPr>
        <w:t>.</w:t>
      </w:r>
      <w:r w:rsidRPr="003112C0">
        <w:rPr>
          <w:rFonts w:ascii="Times New Roman" w:hAnsi="Times New Roman" w:cs="Times New Roman"/>
          <w:sz w:val="28"/>
          <w:szCs w:val="28"/>
          <w:lang w:val="az-Latn-AZ"/>
        </w:rPr>
        <w:t>Mammadov və digər yazarların elmi yazılarında güclü qeyri-sabitlik, xarici faktorlara asılılıq, yüksək risk səviyyələri və inkişaf etməkdə olan ölkələrin xüsusiyyətlərini daşıyan digər xüsusiyyətlər araşdırılmışdır</w:t>
      </w:r>
      <w:r w:rsidR="00047AA0">
        <w:rPr>
          <w:rFonts w:ascii="Times New Roman" w:hAnsi="Times New Roman" w:cs="Times New Roman"/>
          <w:sz w:val="28"/>
          <w:szCs w:val="28"/>
          <w:lang w:val="az-Latn-AZ"/>
        </w:rPr>
        <w:t>.</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İqtisadiyyatın dövlət tənzimlənməsi kontekstində reproduktiv istehsal təbiəti araşdırma dövrü konsepsiyasının ortaya çıxmasına gətirib çıxardı. Bu konsepsiya monetarizm ideyalarının inkişafını əks etdirir və gözləntilər (ümidlər) nəzəriyyəsini dəstəkləyən elmi məktəblər tərəfindən hazırlanır. Bu nəzəriyyəyə əsasən, dövlət çoxlu xüsusiyyətlərlə birlikdə təsərrüfat sisteminin balansını pozan və beləliklə də dövri dəyişikliklərə səbəb olan pulların "şokları" yaradanının rolunu oynayır. Lakin maliyyə böhranının xarakterinə gəldikdə, A</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A</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Aniki aşağıdakı komponentləri müəyyənləşdirir: büdcə, bank, pul dövriyyəsi, valyuta və fond bazarı. Rusiya alimi B</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B</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Rubsov hesab edir ki, "maliyyə böhranı" pul sisteminin böhranı, bank sisteminin böhranı və fond birjasının böhranını (müvafiq olaraq valyuta, bank və fond böhranı) daxil edir. K.Rudovoyun sözlərinə görə, maliyyə böhranı milli valyuta və maliyyə institutlarının və kredit-maliyyə təşkilatlarının suveren borcunun özünü inkar etməsini göstərən maliyyə-kredit sisteminin pisləşməsidir. Bütün bunlar ÜDM-in kəskin azalmasına və nəticədə dövlətin mərkəzi fondlarının formalaşmasına və paylanma prosesinin pisləşməsinə gətirib çıxarır. Y</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A</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KONPATHINOV və A</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N</w:t>
      </w:r>
      <w:r>
        <w:rPr>
          <w:rFonts w:ascii="Times New Roman" w:hAnsi="Times New Roman" w:cs="Times New Roman"/>
          <w:sz w:val="28"/>
          <w:szCs w:val="28"/>
          <w:lang w:val="az-Latn-AZ"/>
        </w:rPr>
        <w:t>.</w:t>
      </w:r>
      <w:r w:rsidRPr="00047AA0">
        <w:rPr>
          <w:rFonts w:ascii="Times New Roman" w:hAnsi="Times New Roman" w:cs="Times New Roman"/>
          <w:sz w:val="28"/>
          <w:szCs w:val="28"/>
          <w:lang w:val="az-Latn-AZ"/>
        </w:rPr>
        <w:t>ILISHKOYI maliyyə böhranı konsepsiyasını dövlətin maliyyə-kredit mexanizmlərinin böhranı və maliyyə bazarının böhranı fond və borc bazarının vəziyyətinin kəskinləşməsi kimi qiymətləndirir. Maliyyə böhranları milli iqtisadiyyat araşdırma mütəxəssisi Maykl Bordonun ABŞ bürosunun təklif etdiyi yayılmış təsnifata uyğun olaraq bank, borc və valyuta böhranı kimi üç kateqoriyaya bölünə bilər.</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Ədəbiyyatda iki növ perspektiv vardır. Monetaristlər maliyyə böhranını bankın çaxnaşması ilə əlaqələndirən və iqtisadi boşluğun zəifləməsinə səbəb olan pul təklifinin məhdudlaşdırılması ilə bağlı problemlərin əsas mənbəyini tez-tez görürlər.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Bank böhranı və pul təklifinin azalmasına səbəb olan hadisələr kimi maliyyə böhranını müdafiə edirlər. Monetaristdən fərqli olaraq, Kindlebergerin və Minskin işlərinə aktivlərin qiymətlərində kəskin azalma, əsas bankların və firmaların iflasının, valyuta bazarının deflyasiyasının, mənfilik və mənfi hadisələrin də daxil olduğu maliyyə böhranının daha geniş bir tərifi verilir.</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Müasir rus və xarici ədəbiyyatın maliyyə böhranın tərifini izah edən bir mənalı təsviri yoxdur. Maliyyə böhranı yalnız geniş spektr sahib böhranın bir parçasıdır, nə, iqtisadiyyatın ümumi böhranı əsnasında meydana gələr. Son dövrdə "maliyyə böhranı" termini genişlənmişdir. Əvvəllər "pul böhranı" termini istifadə edilmişdir. Maliyyə böhranlarının səbəbləri müxtəlifdir. Əvvəlcə, bunun səbəbləri əsassız (əsassız) makroiqtisadi siyasət, dövlət borc əlaqələri sisteminin kökündən pozulması, devalvasiya nın güclənməsi, bank sektorundakı çaxnaşma, zəif və ya axsaq milli maliyyə sistemi, əlverişsiz xarici şərtlər (məsələn, milli əsas ixrac mallarının qiymətinin düşməsi, və ya əsas idxal mallarının balanssız tənzimləmə kursu (tez-tez yüksək), siyasi vətəndaş sabitliyi. F.Mişkin düşünün ki, "maliyyə böhranı fenomeni" - Maliyyə aktivlərinin qiymətlərinin hiss ediləcək dərəcədə aşağı düşməsi və bir çox maliyyə qurumlarının iflas etməsi ilə səciyyələnir. F. Mişkin maliyyə böhranın aşağıdakı səbəblərini ifadə etmişdir: </w:t>
      </w:r>
    </w:p>
    <w:p w:rsidR="00047AA0" w:rsidRPr="00047AA0" w:rsidRDefault="00047AA0" w:rsidP="00047AA0">
      <w:pPr>
        <w:pStyle w:val="ListParagraph"/>
        <w:numPr>
          <w:ilvl w:val="0"/>
          <w:numId w:val="36"/>
        </w:numPr>
        <w:autoSpaceDE w:val="0"/>
        <w:autoSpaceDN w:val="0"/>
        <w:adjustRightInd w:val="0"/>
        <w:spacing w:after="0" w:line="360" w:lineRule="auto"/>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faiz dərəcələrinin artımı; </w:t>
      </w:r>
    </w:p>
    <w:p w:rsidR="00047AA0" w:rsidRPr="00047AA0" w:rsidRDefault="00047AA0" w:rsidP="00047AA0">
      <w:pPr>
        <w:pStyle w:val="ListParagraph"/>
        <w:numPr>
          <w:ilvl w:val="0"/>
          <w:numId w:val="36"/>
        </w:numPr>
        <w:autoSpaceDE w:val="0"/>
        <w:autoSpaceDN w:val="0"/>
        <w:adjustRightInd w:val="0"/>
        <w:spacing w:after="0" w:line="360" w:lineRule="auto"/>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fond birjasında qiymətlər;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3. qiymətlərin ümumi səviyyəsinin gözlənilməz azalması;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4. artan qeyri-müəyyənlik;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5. bank çaxnaşması.</w:t>
      </w:r>
    </w:p>
    <w:p w:rsidR="006E1097" w:rsidRP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Məşhur amerikalı yazıçılar Tomas Puqel və Peter X. Lindert maliyyə böhranının səbəbi üçün beş faktoru müəyyənləşdirmişdir: həddindən artıq kredit və borc, xarici xarici şoklar, xarici valyuta riski, qeyri-daimi beynəlxalq qısa müddətli kreditlər, qlobal infeksiya. Bu faktorlar, xüsusilə Türkiyə, Cənub-Şərqi Asiya ölkələrində, Rusiyada (1998), Latın Amerika ölkələrində müşahidə. Beləliklə, maliyyə böhranının bir hissəsi kimi aşağıdakı maddələri müəyyən edə bilərik</w:t>
      </w:r>
      <w:r w:rsidRPr="00047AA0">
        <w:rPr>
          <w:rStyle w:val="FootnoteReference"/>
          <w:rFonts w:ascii="Times New Roman" w:hAnsi="Times New Roman" w:cs="Times New Roman"/>
          <w:sz w:val="28"/>
          <w:szCs w:val="28"/>
          <w:vertAlign w:val="baseline"/>
          <w:lang w:val="az-Latn-AZ"/>
        </w:rPr>
        <w:t xml:space="preserve"> </w:t>
      </w:r>
      <w:r w:rsidR="006E1097" w:rsidRPr="006B7E8B">
        <w:rPr>
          <w:rStyle w:val="FootnoteReference"/>
          <w:rFonts w:ascii="Times New Roman" w:hAnsi="Times New Roman" w:cs="Times New Roman"/>
          <w:sz w:val="28"/>
          <w:szCs w:val="28"/>
          <w:lang w:val="en-US"/>
        </w:rPr>
        <w:footnoteReference w:id="2"/>
      </w:r>
      <w:r w:rsidR="006E1097" w:rsidRPr="00047AA0">
        <w:rPr>
          <w:rFonts w:ascii="Times New Roman" w:hAnsi="Times New Roman" w:cs="Times New Roman"/>
          <w:sz w:val="28"/>
          <w:szCs w:val="28"/>
          <w:lang w:val="az-Latn-AZ"/>
        </w:rPr>
        <w:t xml:space="preserve">: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1. valyuta böhranı - milli valyutanın devalrasına gətirib çıxarır.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2. Bank böhranı - dövlətdən böyük miqdarda maliyyə dəstəyi tələb edir.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3. Borc böhranı - xarici və daxili borc problemlərinin kəskinləşməsindən asılıdır. </w:t>
      </w:r>
    </w:p>
    <w:p w:rsid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4. fond bazarı - qiymətli kağızlar kursunun yetərliliyi prosesi. Pul krizləri - bu valyuta mübadiləsində stabilliyin kəskin ziddiyyətləri. </w:t>
      </w:r>
    </w:p>
    <w:p w:rsidR="006E1097" w:rsidRPr="00047AA0" w:rsidRDefault="00047AA0" w:rsidP="006E1097">
      <w:pPr>
        <w:autoSpaceDE w:val="0"/>
        <w:autoSpaceDN w:val="0"/>
        <w:adjustRightInd w:val="0"/>
        <w:spacing w:after="0" w:line="360" w:lineRule="auto"/>
        <w:ind w:firstLine="450"/>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Bu, əsasən, valyuta kurslarının kəskin oynanmasında, kapitalın inteqrasiyası, devalvasiya və revalvaziya, beynəlxalq likvidliyin rüsvayçılığı, valyuta kreditləri və maliyyə münasibətləri üzrə debatlardır. BVF-nin sanksiyasına əsasən xarici valyuta böhranı xarici ehtiyatların istifadəsi zamanı baş verir və bu spekulyativ hücumlarda dəyərsizləşməyə və ya hökumətin valyutasını müdafiə etməyə imkan verir. Pul böhranları aşağıdakı təsniflərə malikdir</w:t>
      </w:r>
      <w:r w:rsidR="006E1097" w:rsidRPr="00047AA0">
        <w:rPr>
          <w:rFonts w:ascii="Times New Roman" w:hAnsi="Times New Roman" w:cs="Times New Roman"/>
          <w:sz w:val="28"/>
          <w:szCs w:val="28"/>
          <w:lang w:val="az-Latn-AZ"/>
        </w:rPr>
        <w:t xml:space="preserve"> </w:t>
      </w:r>
      <w:r w:rsidR="006E1097" w:rsidRPr="006B7E8B">
        <w:rPr>
          <w:rStyle w:val="FootnoteReference"/>
          <w:rFonts w:ascii="Times New Roman" w:hAnsi="Times New Roman" w:cs="Times New Roman"/>
          <w:sz w:val="28"/>
          <w:szCs w:val="28"/>
          <w:lang w:val="en-US"/>
        </w:rPr>
        <w:footnoteReference w:id="3"/>
      </w:r>
      <w:r w:rsidR="006E1097" w:rsidRPr="00047AA0">
        <w:rPr>
          <w:rFonts w:ascii="Times New Roman" w:hAnsi="Times New Roman" w:cs="Times New Roman"/>
          <w:sz w:val="28"/>
          <w:szCs w:val="28"/>
          <w:lang w:val="az-Latn-AZ"/>
        </w:rPr>
        <w:t xml:space="preserve">: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 Birinci tip - hər hansı ölkədə kursun normalaşdırılması mühitində pul kütləsinin artımı ilə əlaqədardır, ki, daxili qiymətləri dünya qiymətlərinə nisbətdə artırır bu isə ticarət tarazlığını pozar və nəticədə sabit valyuta kursundan imtina edilir.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 İkinci tip həddindən artıq dövlət borcunun yığılmasıdır. Bu müəyyən müddətdə investorların itməsinə gətirib çıxarar, sərmayənin "qaçışı" meydana gələr və kurs kəskin enir.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 Üçüncü tip xüsusi sektorun borcları ilə bağlıdır.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 Dördüncü tip- dövlət borcunun həddindən artıq yığılması və bu borcun büdcənin ödəmə qabiliyyətində olmaması bu isə sonda devalvasiya və devalvasiyaya yol açır. Borc böhranı - elmi ədəbiyyatda, borc böhranında qəti bir tətil yoxdur. Bu elə bir vəziyyətdir ki, bu vaxt borclu tərəf kredit qrafikinə uyğun öz xarici borcunu ödəmək qabiliyyətində olmur. Bir çox ölkələr daxili borclara müraciət edirlər, çünki daxili resurslar daxili investisiyalar zamanı çatışmazlıq yarada bilməzlər. Bu əsasən dövlət büdcəsinin maliyyələşməsi, sosial-iqtisadi islahatlar, artıq mövcud borc öhdəlikləri əsnasında meydana gələn problemdir. R.İ.Xasbulatov düşünün ki, borc böhranının kəskinləşməsinin səbəblərinə aşağıdakı faktorları aid mümkündür: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 xml:space="preserve">1. Borclu ölkənin xarici borc sferasında doğru seçilməyib siyasəti </w:t>
      </w:r>
    </w:p>
    <w:p w:rsidR="00047AA0" w:rsidRDefault="00047AA0"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047AA0">
        <w:rPr>
          <w:rFonts w:ascii="Times New Roman" w:hAnsi="Times New Roman" w:cs="Times New Roman"/>
          <w:sz w:val="28"/>
          <w:szCs w:val="28"/>
          <w:lang w:val="az-Latn-AZ"/>
        </w:rPr>
        <w:t>2. Xarici konyuktura kifayət qədər oynaması və ən əhəmiyyətli beynəlxalq bazarlarda faiz dərəcələrinin kəskin artması. 3. Market risklərinin qiymətləndirilməsində səhvlər və s.</w:t>
      </w:r>
    </w:p>
    <w:p w:rsidR="00700BA3" w:rsidRDefault="00700BA3"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Fondun böhranı - fond bazarının böhranı qiymətli kağızlar kursunun kəskin vuruşu ilə müəyyənləşdirilə bilər. Ən məşhur maliyyə böhranı 1929-1933-cü illərdə baş vermişdir. Maliyyə liberallaşması və bank böhranları arasında sıx bir əlaqə var. Liberallaşdıqları ölkələrdə banklara mənfi təsir göstərə biləcək bir çox kanal var. Maliyyə liberallaşması, maliyyə institutları, kredit şərtləri, kreditlərin faiz dərəcələri və s. Onlara əmin olun. Pul böhranı maliyyə böhranı ilə əlaqəli və qarşılıqlı məqbul bir anlayışdır. Valyuta böhranı üzərində geniş gözləmələr valyuta bazarında vəziyyətin kəskinləşməsi kimi təklif olunur. Pul böhranı - bu valyutada münaqişənin kəskinləşməsi. O, valyuta kurslarının kəskin tərəddüdlərində, sərmayə axışı, devalvasiya və revalvasiyada, beynəlxalq likvidliyin zəifləməsində, pul-kredit və maliyyə əlaqələrində qarşıdurmanın kəskinləşməsində özünü göstərir. BPF-nin verdiyi tərifə görə "valyuta böhranı mübadilə kursuna spekulyativ hücumlar zamanı xarici ehtiyatların xərclənməsinə və ya faiz dərəcələrinin kəskin qalxmasına səbəb olur." Nəzərə alsaq, gerçək mübadilə kursu yaxınlaşmaqda olan valyuta böhranını müəyyən edən əsas faktordur, elə o da bank vətəndaş sabitliyinin əhəmiyyətli göstəricisi olacaq. Demək ki, pul və bank qeyrisabiliyininin meydana gəlməsini iqtisadçılar xüsusi terminlə ifadə etdilər - "ikiqat böhran" (twin crises). Pul və bank sektoru arasındakı əlaqələr bir-birinin və bu böhranların göstəricilərinin əlaqələndirilməsinə gətirib çıxardı.</w:t>
      </w:r>
    </w:p>
    <w:p w:rsidR="00E167F2" w:rsidRPr="00700BA3" w:rsidRDefault="00700BA3"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Milli valyutanın devalvasiyası bank zənginin yaxınlaşmasının göstəricisidir. Maliyyə böhranının elementi borc böhranıdır. Qərb və Qərb iqtisadçıları uzun müddət borc böhranının təbiətini araşdırırlar. Borc böhranı dövlət və iqtisadi qurumların kreditorlara qarşı öhdəliklərini yerinə yetirməməsi. Bu mənada borc böhranı bank böhranına bənzər görünə bilər. Bu iki anlayış arasındakı yeganə prinsipial fərqlilik əlaqələrin altkəsidir. Bank böhranını araşdırarkən biz bank qurumlarını nəzərdən keçiririk, borc böhranı maliyyə qurumları və dövlət ilə əlaqəsi yoxdur. Bundan əlavə, bank böhranı əsasən kredit böhranıdır, yəni borc problemlərini təhlil edir və təhlil edir və borc böhranı borcalanın və ya borcalanın qeyri-monetizasiyasını göstərir. Fondun böhranı maliyyə böhranının ayrılmaz bir hissəsidir, buna görə fond bazarında baş vermiş hadisələr, xüsusilə bazar iqtisadiyyatı şəraitində, bank sisteminin vəziyyətinə qeyri-adi dərəcədə təsir göstərir. Əmlak və maliyyə sektoru (əsasən banklar) aktivlərinin əhəmiyyətli bir hissəsini təşkil etdiyinə görə, fond bazarının iflası, öz növbəsində, bankların ödəmə qabiliyyətini artırır.</w:t>
      </w:r>
    </w:p>
    <w:p w:rsidR="00E167F2" w:rsidRDefault="00E167F2" w:rsidP="00251BAA">
      <w:pPr>
        <w:autoSpaceDE w:val="0"/>
        <w:autoSpaceDN w:val="0"/>
        <w:adjustRightInd w:val="0"/>
        <w:spacing w:after="0" w:line="360" w:lineRule="auto"/>
        <w:jc w:val="both"/>
        <w:rPr>
          <w:rFonts w:ascii="Times New Roman" w:hAnsi="Times New Roman" w:cs="Times New Roman"/>
          <w:sz w:val="28"/>
          <w:szCs w:val="28"/>
          <w:lang w:val="az-Latn-AZ"/>
        </w:rPr>
      </w:pPr>
    </w:p>
    <w:p w:rsidR="00700BA3" w:rsidRPr="00700BA3" w:rsidRDefault="00700BA3"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E167F2" w:rsidRPr="00700BA3" w:rsidRDefault="00E167F2"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E1097" w:rsidRPr="006B7E8B" w:rsidRDefault="006E1097" w:rsidP="006B7E8B">
      <w:pPr>
        <w:pStyle w:val="Heading1"/>
        <w:rPr>
          <w:rFonts w:ascii="Times New Roman" w:eastAsia="Times New Roman,Bold" w:hAnsi="Times New Roman" w:cs="Times New Roman"/>
          <w:lang w:val="az-Latn-AZ"/>
        </w:rPr>
      </w:pPr>
      <w:bookmarkStart w:id="9" w:name="_Toc8806574"/>
      <w:bookmarkStart w:id="10" w:name="_Toc8806917"/>
      <w:r w:rsidRPr="006B7E8B">
        <w:rPr>
          <w:rFonts w:ascii="Times New Roman" w:eastAsia="Times New Roman,Bold" w:hAnsi="Times New Roman" w:cs="Times New Roman"/>
          <w:lang w:val="en-US"/>
        </w:rPr>
        <w:t>FƏSIL 2. DEVALVASIYANIN BANK SEKTORUNA TƏSIRININ TƏHLILI</w:t>
      </w:r>
      <w:bookmarkEnd w:id="9"/>
      <w:bookmarkEnd w:id="10"/>
    </w:p>
    <w:p w:rsidR="006E1097" w:rsidRPr="006B7E8B" w:rsidRDefault="006E1097" w:rsidP="006B7E8B">
      <w:pPr>
        <w:pStyle w:val="Heading2"/>
        <w:numPr>
          <w:ilvl w:val="1"/>
          <w:numId w:val="34"/>
        </w:numPr>
        <w:rPr>
          <w:lang w:val="az-Latn-AZ"/>
        </w:rPr>
      </w:pPr>
      <w:bookmarkStart w:id="11" w:name="_Toc8806575"/>
      <w:bookmarkStart w:id="12" w:name="_Toc8806918"/>
      <w:r w:rsidRPr="006B7E8B">
        <w:rPr>
          <w:lang w:val="az-Latn-AZ"/>
        </w:rPr>
        <w:t>Bankların dayanaqlığına dev</w:t>
      </w:r>
      <w:r w:rsidR="004B6C02" w:rsidRPr="006B7E8B">
        <w:rPr>
          <w:lang w:val="az-Latn-AZ"/>
        </w:rPr>
        <w:t>a</w:t>
      </w:r>
      <w:r w:rsidRPr="006B7E8B">
        <w:rPr>
          <w:lang w:val="az-Latn-AZ"/>
        </w:rPr>
        <w:t>lvasiyanın təsiri və tənzimlənmə metodları</w:t>
      </w:r>
      <w:bookmarkEnd w:id="11"/>
      <w:bookmarkEnd w:id="12"/>
    </w:p>
    <w:p w:rsidR="00191AE8" w:rsidRPr="006B7E8B" w:rsidRDefault="00191AE8"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Ümumiyyətlə, hər bir ölkədə bank sisteminin böhrana salan fərqli səbəblərlə bərabər, bütün ölkədə keçərli ortaq səbəblər də var və </w:t>
      </w:r>
      <w:r w:rsidR="00B21B72" w:rsidRPr="006B7E8B">
        <w:rPr>
          <w:rFonts w:ascii="Times New Roman" w:hAnsi="Times New Roman" w:cs="Times New Roman"/>
          <w:sz w:val="28"/>
          <w:szCs w:val="28"/>
          <w:lang w:val="az-Latn-AZ"/>
        </w:rPr>
        <w:t>bankçılıq böhranının beynəlxalq uygulamadaki ən məşhur şərhi, aşağıdakı dörd şərtin mövcud olması halında, bank sisteminin böhran olaraq qəbul edilə bilər</w:t>
      </w:r>
      <w:r w:rsidR="00DC7C4C" w:rsidRPr="006B7E8B">
        <w:rPr>
          <w:rStyle w:val="FootnoteReference"/>
          <w:rFonts w:ascii="Times New Roman" w:hAnsi="Times New Roman" w:cs="Times New Roman"/>
          <w:sz w:val="28"/>
          <w:szCs w:val="28"/>
          <w:lang w:val="az-Latn-AZ"/>
        </w:rPr>
        <w:footnoteReference w:id="4"/>
      </w:r>
      <w:r w:rsidRPr="006B7E8B">
        <w:rPr>
          <w:rFonts w:ascii="Times New Roman" w:hAnsi="Times New Roman" w:cs="Times New Roman"/>
          <w:sz w:val="28"/>
          <w:szCs w:val="28"/>
          <w:lang w:val="az-Latn-AZ"/>
        </w:rPr>
        <w:t xml:space="preserve">: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1. Bankların aktivlərində qeyri-aktivlərin payı 10% -dən çoxdur;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2. xilasetmə əməliyyatları üçün banklar tərəfindən çəkilmiş xərclər ÜDM-in 2% -dən artıqdır;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3. Bank sektorunun problemləri bankların əhəmiyyətli bir hissəsini (10% -dən çox) milliləşdirməyə gətirib çıxardı;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4. Əmanətçilər arasında əmək haqqı yaradılıb və əmanət kollektiv qaydada geri götürülüb və ya depozit depozitləri böhrana cavab olaraq depozitlərin ümumi təminatlarının və ya depozitlərin saxlanması kimi qeyri-adi tədbirlər görmüşlər. Maliyyə böhranının intensivləşməsinə təsir edən amillər aşağıdakılardır: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1. faiz dərəcələrinin artması;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2. Bankın əhdinin pozulması;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3.Fond dəyişdirmə çökməsi; </w:t>
      </w:r>
    </w:p>
    <w:p w:rsidR="009367EF" w:rsidRPr="006B7E8B" w:rsidRDefault="009367EF" w:rsidP="009367E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4. İqtisadiyyatdan kənarda iqtisadiyyatın artması.</w:t>
      </w:r>
    </w:p>
    <w:p w:rsidR="00D425E2" w:rsidRPr="006B7E8B" w:rsidRDefault="00B21B72" w:rsidP="00700BA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Bazar iqtisadiyyatı şəraitində, bank böhranları qanunidir və daxili ziddiyyətlər və ziddiyyətlərlə şərtləndirilir. Bu məzmunda, bank sektorundakı böhranların səbəbləri üzərinə araşdırmalarla əlaqədar ədqiqatlar son illərdə artmaqdadır.</w:t>
      </w:r>
      <w:r w:rsidR="00191AE8" w:rsidRPr="006B7E8B">
        <w:rPr>
          <w:rFonts w:ascii="Times New Roman" w:hAnsi="Times New Roman" w:cs="Times New Roman"/>
          <w:sz w:val="28"/>
          <w:szCs w:val="28"/>
          <w:lang w:val="az-Latn-AZ"/>
        </w:rPr>
        <w:t xml:space="preserve"> </w:t>
      </w:r>
      <w:r w:rsidR="00700BA3" w:rsidRPr="00700BA3">
        <w:rPr>
          <w:rFonts w:ascii="Times New Roman" w:hAnsi="Times New Roman" w:cs="Times New Roman"/>
          <w:sz w:val="28"/>
          <w:szCs w:val="28"/>
          <w:lang w:val="az-Latn-AZ"/>
        </w:rPr>
        <w:t>Bank sisteminin böhranının əsas problemi sistemin dövlət və cəmiyyətə yüklənməsidir. Bəzi hallarda bankların qənaət prosesi maliyyə böhranlarının şansını artıra bilər və daha çox itkilərə səbəb ola bilər. 2007-ci ildə ABŞ-da başlayan və sonra bir çox ölkəyə yayılmış maliyyə böhranı dünyanın ən böyük qlobal böhranıdır. 1975-2009-cu illərdə 50-dən çox ölkədə 200-dən çox pul və 54 borc / bank böhranı qeydə alınıb. 2007-2008-ci illərdə ABŞ-ın böhranı aydınlaşdıqdan sonra yeni maliyyə böhranının ortaya çıxması təhlükəsi xüsusilə tanınmağa başlandı. 1970-2000-ci illərdəki maliyyə böhranı onlarca ölkədə milli maliyyə aktivlərinin 10-30% -nin itirilməsinə səbəb oldu. 2008-2009-cu illər ərzində bir çox inkişaf etmiş və inkişaf etməkdə olan ölkələrin bank sistemlərinin böhranları baş vermişdir və bu böhranlar yalnız batma və problemli bankları deyil, banklarla əlaqəli real sektor və ev nəzarətini də əhatə etmişdir. 2008-ci ilin II yarısı - fond indekslərinin azalması: 70-80%, qlobal maliyyə sektorundakı itkilər: 3 trilyon. Qlobal ÜDM-nin 4,3% -i və ya. Beynəlxalq təcrübə göstərir ki, bank böhranının azaldılması qiyməti orta ÜDM-in 15-20% -ni təşkil edir. Məlum olduğu kimi, bir çox ölkədə bank böhranının qarşısının alınması böyük xərclər tələb edir: İspaniya və Macarıstanda 15%, Malayziyada 20,5%, Meksikada isə 30%. Bəzi ölkələrdə bu rəqəm 40-50% -ə çata bilər. Türkiyənin bank sektorunun yenidən kapitallaşmasına və struktur yenilənməsinə dövlətin sərf etdiyi xərcləri 40-50 milyard. dollar və ya ÜDM hər üç gün ərzində hesablanır. Türkiyədə hətta bank sektorunun% 25-i öhdəliklərini öz üzərinə götürəcək yeni tənzimləyici orqan (BDDK) yaradıldı</w:t>
      </w:r>
      <w:r w:rsidR="00700BA3" w:rsidRPr="00700BA3">
        <w:rPr>
          <w:rStyle w:val="FootnoteReference"/>
          <w:rFonts w:ascii="Times New Roman" w:hAnsi="Times New Roman" w:cs="Times New Roman"/>
          <w:sz w:val="28"/>
          <w:szCs w:val="28"/>
          <w:vertAlign w:val="baseline"/>
          <w:lang w:val="az-Latn-AZ"/>
        </w:rPr>
        <w:t xml:space="preserve"> </w:t>
      </w:r>
      <w:r w:rsidR="00DC7C4C" w:rsidRPr="006B7E8B">
        <w:rPr>
          <w:rStyle w:val="FootnoteReference"/>
          <w:rFonts w:ascii="Times New Roman" w:hAnsi="Times New Roman" w:cs="Times New Roman"/>
          <w:sz w:val="28"/>
          <w:szCs w:val="28"/>
          <w:lang w:val="az-Latn-AZ"/>
        </w:rPr>
        <w:footnoteReference w:id="5"/>
      </w:r>
      <w:r w:rsidR="00191AE8" w:rsidRPr="006B7E8B">
        <w:rPr>
          <w:rFonts w:ascii="Times New Roman" w:hAnsi="Times New Roman" w:cs="Times New Roman"/>
          <w:sz w:val="28"/>
          <w:szCs w:val="28"/>
          <w:lang w:val="az-Latn-AZ"/>
        </w:rPr>
        <w:t>.</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Rusiyadakı bankların struktur yenilənməsi üzrə birbaşa maliyyə xərcləri 1998-ci ildə ÜDM-in 0,2% -ni təşkil etsə də, bu göstərici 2009-cu ilin aprel ayında 21,7% səviyyəsində müəyyən edilmişdir. 2007-2008-ci illər böhranından sonra, ABŞ hökumətinin bankların struktur yenilənməsi ilə bağlı maliyyə xərcləri yeni bir rəqəm ilə ÜDM-in 38,7% -ni təşkil edir. $. Avropa regionunda böhranın qarşısının alınması ilə bağlı xərclər ÜDM-in 23,4% -ə çatmışdır (3285 mln.). AFR hökumətinin proqramı 500 mlrd. Avro, Fransada 360 mlrd. Avro, İrlandiyada 400 mlr. Avro qurdu. Son məlumatlara görə, cari maliyyə böhranı Dünyanın dörd bir tərəfində bankların ümumi zərərləri 700 milyard dollardan çoxdur, onlardan yarısı Amerika banklarının payına düşür. Banklar indi yeni kapital iştirakına görə bu məbləğin təxminən 50% -ni kompensasiya edə biliblər. BMF-nin son hesablamalarına əsasən, bankların itkilərinin məbləği iki dəfədən artıqdır - 1,6 trilyon. artacaq. Beləliklə, qlobal maliyyə böhranı (2008) və böhran sonrası ssenarinin inkişafı aşağıdakılardır: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1. ABŞ ipoteka kreditləşdirmə sisteminin dağılması;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2. Kredit həcminin azaldılması və kredit xəttinin açılmasına ciddi nəzarət;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3. Fond indekslərinin aşağı istiqaməti;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4. Büdcə kəsirlərinin artması;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5. Real sektorda regressiya;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 xml:space="preserve">6. İşsizliyin gücləndirilməsi; </w:t>
      </w:r>
    </w:p>
    <w:p w:rsidR="00700BA3" w:rsidRDefault="00700BA3"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700BA3">
        <w:rPr>
          <w:rFonts w:ascii="Times New Roman" w:hAnsi="Times New Roman" w:cs="Times New Roman"/>
          <w:sz w:val="28"/>
          <w:szCs w:val="28"/>
          <w:lang w:val="az-Latn-AZ"/>
        </w:rPr>
        <w:t>7. İstehlak xərclərinin azaldılması. Məlum olduğu kimi, dünya maliyyə böhranı Amerikanın əmlak bazarında möhtəkirlikdən başlamışdır. Bununla yanaşı, törəmə maliyyə alətlərinin mövcudluğundan birinin riskdən qaçınmasına baxmayaraq, spekulyativ məqsədlər üçün istifadə sürətlə artmışdır. İpoteka dünyanın bütün ölkələrinin iqtisadiyyatında, reallığın reallaşmasına səbəb olan bütün dünyada bank sektorunda böhrana səbəb olmağı hədəfləyir. Bütün bunlar maliyyə bazarlarında etibarsızlıq və panik itkisinə səbəb oldu</w:t>
      </w:r>
      <w:r>
        <w:rPr>
          <w:rFonts w:ascii="Times New Roman" w:hAnsi="Times New Roman" w:cs="Times New Roman"/>
          <w:sz w:val="28"/>
          <w:szCs w:val="28"/>
          <w:lang w:val="az-Latn-AZ"/>
        </w:rPr>
        <w:t>.</w:t>
      </w:r>
    </w:p>
    <w:p w:rsidR="00191AE8" w:rsidRPr="006B7E8B" w:rsidRDefault="00BA7A6A"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Amerikan bank sistemində başlayan böhran sürətlə dünyanın ən inkişaf etmiş və inkişaf etməkdə olan bazarlarına yayıldı. Bu səbəbdən, də başlayan və davam etməkdə olan qlobal maliyyə böhran dörd mərhələyə bölünür</w:t>
      </w:r>
      <w:r w:rsidR="00DC7C4C" w:rsidRPr="006B7E8B">
        <w:rPr>
          <w:rStyle w:val="FootnoteReference"/>
          <w:rFonts w:ascii="Times New Roman" w:hAnsi="Times New Roman" w:cs="Times New Roman"/>
          <w:sz w:val="28"/>
          <w:szCs w:val="28"/>
          <w:lang w:val="az-Latn-AZ"/>
        </w:rPr>
        <w:footnoteReference w:id="6"/>
      </w:r>
      <w:r w:rsidR="00191AE8" w:rsidRPr="006B7E8B">
        <w:rPr>
          <w:rFonts w:ascii="Times New Roman" w:hAnsi="Times New Roman" w:cs="Times New Roman"/>
          <w:sz w:val="28"/>
          <w:szCs w:val="28"/>
          <w:lang w:val="az-Latn-AZ"/>
        </w:rPr>
        <w:t>:</w:t>
      </w:r>
    </w:p>
    <w:p w:rsidR="00BA7A6A" w:rsidRPr="006B7E8B" w:rsidRDefault="00BA7A6A"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1. Anglo-Sakson Maliyyə Böhranı (2007 yazından 2008-ci ilin martına qədər). Qlobal böhranın ilk böhranı, ABŞ mortgage bazarındakı problemlərin ortaya çıxması ilə ortaya çıxdı və böyük bir ABŞ mortgage krediti kampaniyasının başlanğıcı olan Bear Stearns oldu. </w:t>
      </w:r>
    </w:p>
    <w:p w:rsidR="00191AE8" w:rsidRPr="006B7E8B" w:rsidRDefault="00191AE8"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2. Hüdüd çəkmə və</w:t>
      </w:r>
      <w:r w:rsidR="00CC6D13" w:rsidRPr="006B7E8B">
        <w:rPr>
          <w:rFonts w:ascii="Times New Roman" w:hAnsi="Times New Roman" w:cs="Times New Roman"/>
          <w:sz w:val="28"/>
          <w:szCs w:val="28"/>
          <w:lang w:val="en-US"/>
        </w:rPr>
        <w:t xml:space="preserve"> </w:t>
      </w:r>
      <w:r w:rsidRPr="006B7E8B">
        <w:rPr>
          <w:rFonts w:ascii="Times New Roman" w:hAnsi="Times New Roman" w:cs="Times New Roman"/>
          <w:sz w:val="28"/>
          <w:szCs w:val="28"/>
          <w:lang w:val="en-US"/>
        </w:rPr>
        <w:t xml:space="preserve">ya sərhəd çəkmə (decoupling, mart- avqust 2008- ci il). </w:t>
      </w:r>
      <w:r w:rsidR="00BA7A6A" w:rsidRPr="006B7E8B">
        <w:rPr>
          <w:rFonts w:ascii="Times New Roman" w:hAnsi="Times New Roman" w:cs="Times New Roman"/>
          <w:sz w:val="28"/>
          <w:szCs w:val="28"/>
          <w:lang w:val="en-US"/>
        </w:rPr>
        <w:t>Böhran iqtisadi olaraq inkişaf etmiş ölkələrə yayıldı, ancaq böhranın inkişaf etməkdə olan ölkələri etkilemeyeceği və dinamik iqtisadi inkişaflarının sırayla bu ölkələrin kurtarılmasında ana katalizator olacağına dair ümid var. </w:t>
      </w:r>
    </w:p>
    <w:p w:rsidR="00BA7A6A" w:rsidRPr="006B7E8B" w:rsidRDefault="00BA7A6A" w:rsidP="00473D1F">
      <w:pPr>
        <w:autoSpaceDE w:val="0"/>
        <w:autoSpaceDN w:val="0"/>
        <w:adjustRightInd w:val="0"/>
        <w:spacing w:after="0" w:line="360" w:lineRule="auto"/>
        <w:ind w:firstLine="708"/>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3. Kredit daralma əməliyyatı (Müzakirə, Sentyabr-noyabr 2008). Səlahiyyətlilərin, inkişaf etməkdə olan ölkələrdəki qlobal böhran və inkişaf etmiş ölkələrdə yenidən məskunlaşmanın yenidən başlamasıyla əlaqədar qarşıdurmaları. Dünyadakı bir çox ölkədə bank sisteminin çöküşünün başlanğıcı. </w:t>
      </w:r>
    </w:p>
    <w:p w:rsidR="00BA7A6A" w:rsidRPr="006B7E8B" w:rsidRDefault="00BA7A6A" w:rsidP="00BA7A6A">
      <w:pPr>
        <w:autoSpaceDE w:val="0"/>
        <w:autoSpaceDN w:val="0"/>
        <w:adjustRightInd w:val="0"/>
        <w:spacing w:after="0" w:line="360" w:lineRule="auto"/>
        <w:ind w:firstLine="708"/>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4. Emisyon və ya doldurulması (2008-ci ilin sonundan günümüzə qədər kəmiyyət hərəkətlilik) Dünyadakı bir çox hökumət, istehsaldakı çöküşü önləmək üçün bir sıra pul və xəyali tədbir hazırladı və məqsəd pul ərzini artıraraq tələbi sabitləşdirməkdir.</w:t>
      </w:r>
    </w:p>
    <w:p w:rsidR="00407A1A" w:rsidRPr="006B7E8B" w:rsidRDefault="00DB0A07" w:rsidP="006B7E8B">
      <w:pPr>
        <w:pStyle w:val="Heading2"/>
        <w:numPr>
          <w:ilvl w:val="1"/>
          <w:numId w:val="34"/>
        </w:numPr>
        <w:rPr>
          <w:rFonts w:eastAsia="MS Mincho"/>
          <w:noProof/>
          <w:lang w:val="az-Latn-AZ" w:eastAsia="ru-RU"/>
        </w:rPr>
      </w:pPr>
      <w:bookmarkStart w:id="13" w:name="_Toc8806576"/>
      <w:bookmarkStart w:id="14" w:name="_Toc8806919"/>
      <w:r w:rsidRPr="006B7E8B">
        <w:rPr>
          <w:rFonts w:eastAsia="MS Mincho"/>
          <w:noProof/>
          <w:lang w:val="az-Latn-AZ" w:eastAsia="ru-RU"/>
        </w:rPr>
        <w:t>Bank sektorunda devalvasiyanın diaqnostikası (Kapital və Access bank nümunəsində)</w:t>
      </w:r>
      <w:bookmarkEnd w:id="13"/>
      <w:bookmarkEnd w:id="14"/>
    </w:p>
    <w:p w:rsidR="00BA7A6A" w:rsidRPr="006B7E8B" w:rsidRDefault="00BA7A6A" w:rsidP="00BA7A6A">
      <w:pPr>
        <w:autoSpaceDE w:val="0"/>
        <w:autoSpaceDN w:val="0"/>
        <w:adjustRightInd w:val="0"/>
        <w:spacing w:after="0" w:line="360" w:lineRule="auto"/>
        <w:ind w:firstLine="708"/>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Biz qeyd etdik ki, bankların maliyyə sabitliyi bank səhmdarlığına və likvidliyinə çox asılıdır. Bes Bankın sabitliyi nədir? Əvvəlcə nə dərəcədə möhkəmliyin və onun maliyyə sabitliyinə təsir etdiyini izah edək. Bankın fəaliyyətində bank ehtiyatların nağd pul və nağd formada iflas və yenidən bölüşdürülməsini və pulun dövriyyəyə buraxılmasını gözləyir. Bankın fəaliyyətinin sabitliyi, pul dövriyyəsinin sabitliyi və onun üstünlüyü, eləcə də pul şəklində təklif olunan bütün digər bank xidmətləri və bank məhsullarının inkişafı sabitdir. Ancaq bu anlayışlar bir-birinə yaxın olsa da, məzmunu üst-üstə düşmür. Kədərlənmə halında, qalıcı olaraq qaldığı bu və ya digər hallarda daimi bir vəziyyət olduğu aydın olur. Dayanaqlıq, əldə edilən nəticələrdən, yəni bank fəaliyyəti dövründə inkişafa doğru dəyişikliklərdir. Dayanma səliqədən daha geniş bir anlayışdır. Banklar əməliyyatlarda sabitliyin təmin edilməsi ilə sabitliyə sadiqdirlər. Bu deməkdir ki, bankın fəaliyyəti zamanı əsas məqsədi sabitliyin əldə olunması deyil, bankın inkişafı, yeni fəaliyyətlərin yaranması və xidmət sektorunun genişləndirilməsi deməkdir. Banklar yalnız stabil maliyyə vəziyyətinə nail olmalı, həm də daha çox gəlir qazanmağa və müştərilərə daha çox bank məhsulu təklif etməlidirlər.</w:t>
      </w:r>
    </w:p>
    <w:p w:rsidR="00BA7A6A" w:rsidRPr="006B7E8B"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Sabitlik və əzmkarlıq bir-birlərini bir sistem olaraq tamamlayır. Birlikdə bank sisteminin və fərdi kredit təşkilatlarının uğurları və çatışmazlıqlarını müəyyənləşdirirlər. Biz bilirik ki, bank ictimaiyyətə xidmət edən bir təşkilatdır, yəni banklar fiziki və hüquqi şəxslərə, eləcə də dövlət və digər banklara xidmət göstərirlər. Bu səbəbdən həm hüquqi, həm də fiziki, dövlət və digər banklar maraqlıdır ki, bankların fəaliyyətinin sabitliyi təmin olunmalıdır.</w:t>
      </w:r>
    </w:p>
    <w:p w:rsidR="00BA7A6A" w:rsidRPr="006B7E8B" w:rsidRDefault="006E1097" w:rsidP="00BA7A6A">
      <w:pPr>
        <w:tabs>
          <w:tab w:val="left" w:pos="2410"/>
        </w:tabs>
        <w:spacing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w:t>
      </w:r>
      <w:r w:rsidR="00BA7A6A" w:rsidRPr="006B7E8B">
        <w:rPr>
          <w:rFonts w:ascii="Times New Roman" w:eastAsia="MS Mincho" w:hAnsi="Times New Roman" w:cs="Times New Roman"/>
          <w:sz w:val="28"/>
          <w:szCs w:val="28"/>
          <w:lang w:val="az-Latn-AZ"/>
        </w:rPr>
        <w:t xml:space="preserve">Bankın fəaliyyəti sosial xarakter daşıyarkən, onun dayanıqlılığı bankların sosial şəbəkələrinin uyğunluğu ilə ölçülür. Əlbəttə ki, banklar banklar deyil. Banklar müştərilərin fəaliyyətlərini geri çəkir və azad edirlər. Bununla yanaşı, banklar özləri daxil olan qalıqları saxlamamalı, eyni zamanda tələbat olduqda və onların tabeliyində olanları da saxlamalıdırlar. Dayanıqlığa gəldikdə, əmanətçilər öz materiallarını bankdan çıxararkən, banklar öz fəaliyyətlərini davam etdirmək üçün likvidlik problemlərini yaşamamalıdırlar. Bütün qeydləri nəzərə alaraq biz sabitliyi aşağıdakı kimi xarakterizə edə bilərik: </w:t>
      </w:r>
    </w:p>
    <w:p w:rsidR="00BA7A6A" w:rsidRPr="006B7E8B"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Bankın sabitliyi uzunmüddətli, davamlı və daimi prosesdir. Bankların bazar iqtisadiyyatı və banklararası rəqabət sektorunda fəaliyyət sahəsinin genişlənməsinin dərəcəsindən asılıdır. </w:t>
      </w:r>
    </w:p>
    <w:p w:rsidR="00BA7A6A" w:rsidRPr="006B7E8B"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Bankın sabitliyinə gəldikdə, bu, bank sisteminin, bütün sahələrin, infrasutruksların və bank sisteminin daxili və xarici elementlərinin inkişafıdır. </w:t>
      </w:r>
    </w:p>
    <w:p w:rsidR="00BA7A6A" w:rsidRPr="006B7E8B" w:rsidRDefault="00BA7A6A" w:rsidP="00BA7A6A">
      <w:pPr>
        <w:tabs>
          <w:tab w:val="left" w:pos="2410"/>
        </w:tabs>
        <w:spacing w:after="0" w:line="360" w:lineRule="auto"/>
        <w:ind w:firstLine="708"/>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-Dayanıqlılıq yalnız bankların inkişafından deyil, bankın bütün infrastrukturlarının inkişafını nəzərdə tutan sistematik prosesdən də başa düşülür.</w:t>
      </w:r>
    </w:p>
    <w:p w:rsidR="00BA7A6A" w:rsidRPr="006B7E8B"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Müasir bazar iqtisadiyyatı və bank rəqabətin gündən günə artdığı bir dövrdə bank sistemi aşağıdakı hallarda dayanıqlı olaraq qəbul edilir: </w:t>
      </w:r>
    </w:p>
    <w:p w:rsidR="00BA7A6A" w:rsidRPr="006B7E8B"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1.Bank sektoru davamlı inkişaf ilə yoldaşlıq edilsin; </w:t>
      </w:r>
    </w:p>
    <w:p w:rsidR="00BA7A6A" w:rsidRPr="006B7E8B"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2. Bankların iqtisadi effektivliyini deyil, həm də maliyyə fəaliyyətini genişləndirin. Yeni bank fəaliyyəti və bank məhsullarının formalaşması tətbiq olunur. Bank sisteminin dayanıqlığının göstəriciləri aşağıdakılardır: </w:t>
      </w:r>
    </w:p>
    <w:p w:rsidR="00BA7A6A" w:rsidRPr="006B7E8B"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1. hakimiyyətin itkisi, yəni simvolu olmayan; </w:t>
      </w:r>
    </w:p>
    <w:p w:rsidR="00BA7A6A" w:rsidRPr="006B7E8B" w:rsidRDefault="00BA7A6A" w:rsidP="006E1097">
      <w:pPr>
        <w:tabs>
          <w:tab w:val="left" w:pos="2410"/>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2. öz öhdəliklərini tam və səmərəli yerinə yetirmək; Aşağıdakı hallarda bank sistemi dayanıqlı hesab olunur: </w:t>
      </w:r>
    </w:p>
    <w:p w:rsidR="00BA7A6A" w:rsidRPr="006B7E8B"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əsas maliyyə böhranları; </w:t>
      </w:r>
    </w:p>
    <w:p w:rsidR="00BA7A6A" w:rsidRPr="006B7E8B"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Bankın əməliyyatında əsas daxili və xarici münaqişələr yoxdur; </w:t>
      </w:r>
    </w:p>
    <w:p w:rsidR="00BA7A6A" w:rsidRPr="006B7E8B"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banklara lazım olan coğrafi yerlərdə fəaliyyət göstərmək; </w:t>
      </w:r>
    </w:p>
    <w:p w:rsidR="00BA7A6A" w:rsidRPr="006B7E8B" w:rsidRDefault="00BA7A6A" w:rsidP="00BA7A6A">
      <w:pPr>
        <w:pStyle w:val="ListParagraph"/>
        <w:numPr>
          <w:ilvl w:val="0"/>
          <w:numId w:val="29"/>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İnfüzyonun idarə oluna biləcəyi hallarda; </w:t>
      </w:r>
    </w:p>
    <w:p w:rsidR="00BA7A6A" w:rsidRPr="006B7E8B" w:rsidRDefault="00BA7A6A" w:rsidP="00BA7A6A">
      <w:pPr>
        <w:pStyle w:val="ListParagraph"/>
        <w:numPr>
          <w:ilvl w:val="0"/>
          <w:numId w:val="27"/>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Əhalidə fəaliyyət göstərən əhalinin səmərəli paylanması reallaşdıqda;</w:t>
      </w:r>
    </w:p>
    <w:p w:rsidR="00BA7A6A" w:rsidRPr="006B7E8B"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Kapitalın fasiləsiz hərəkəti təmin olunduqda; </w:t>
      </w:r>
    </w:p>
    <w:p w:rsidR="00BA7A6A" w:rsidRPr="006B7E8B"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Banklarada riskləri qiymətləndirmək və idarə etmək mümkün olduqda </w:t>
      </w:r>
    </w:p>
    <w:p w:rsidR="00BA7A6A" w:rsidRPr="006B7E8B" w:rsidRDefault="00BA7A6A" w:rsidP="00BA7A6A">
      <w:pPr>
        <w:pStyle w:val="ListParagraph"/>
        <w:numPr>
          <w:ilvl w:val="0"/>
          <w:numId w:val="25"/>
        </w:numPr>
        <w:tabs>
          <w:tab w:val="left" w:pos="2410"/>
        </w:tabs>
        <w:spacing w:before="100" w:beforeAutospacing="1" w:after="0" w:line="360" w:lineRule="auto"/>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Bank nüfuzunun qorunması təmin edildiyində.</w:t>
      </w:r>
    </w:p>
    <w:p w:rsidR="00BA7A6A" w:rsidRPr="006B7E8B" w:rsidRDefault="00BA7A6A" w:rsidP="006E1097">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Bank sisteminin strukturu bank sisteminin blok və elementlərinin uzunmüddətli, tədricən və balanslaşdırılmış inkişaf prosesidir. Bu proses nümayişçilərin kəmiyyət və keyfiyyəti baxımından bir dəyişməyə və ictimai əlaqələrin inkişafı üçün məhsuldar mühit yaratmağa gətirib çıxarır. Bank sisteminin fəaliyyət göstərdiyi qeyri-sabitlik və xarici mühit problemləri, ilk növbədə, daxili vəziyyətə təsiri göstərdiyindən, iqtisadiyyatın real sektoruna və digər məsələlərə onun möhkəmliyini nəzərə almadan çatmaq mümkün deyil. Bank sektorunun sabitliyini və davamlılığını təmin etmək üçün tədbirlər bir çox müəssisənin monitorinqindən asılıdır. Məlum olduğu kimi, bankın tənzimlənməsi və nəzarəti sistemi çərçivəsində kommersiya banklarının fəaliyyətinin monitorinqi aşağıdakı kompleks problemlərin həllinə yönəldilmişdir:</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ölkənin iqtisadi inkişafının əsas göstəricilərini və kommersiya banklarının sisteminin effektivliyini əks etdirən məlumatların toplanması;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Bank sisteminin əsas göstəricilərinin təhlili və qiymətləndirilməsi, bank sisteminin sistemli risk qiymətləndirilməsi;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müxtəlif amillərin bankların etibarlılığına təsiri, bank sisteminin davamlılığının təsiri və qiymətləndirilməsi;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Bank sisteminin dövlət tənzimlənməsi çərçivəsində həyata keçirilən fəaliyyətlərin effektivliyini qiymətləndirmək. Monitorinqin əsas aspektləri aşağıdakı kimi toplana bilər: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materialların monitorinqi;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devalvaziyanın davamlı monitorinqi;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stressiz testin nəticələri əsasında monitorinq; </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bank sektorunun maliyyə davamlılığının monitorinqi;</w:t>
      </w:r>
    </w:p>
    <w:p w:rsidR="00724C11"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üsyançıların fəaliyyətinin nəticələri barədə məlumatların monitorinqi;</w:t>
      </w:r>
    </w:p>
    <w:p w:rsidR="00BA7A6A" w:rsidRPr="006B7E8B" w:rsidRDefault="00BA7A6A" w:rsidP="00724C11">
      <w:pPr>
        <w:pStyle w:val="ListParagraph"/>
        <w:numPr>
          <w:ilvl w:val="1"/>
          <w:numId w:val="31"/>
        </w:numPr>
        <w:tabs>
          <w:tab w:val="left" w:pos="851"/>
        </w:tabs>
        <w:spacing w:before="100" w:beforeAutospacing="1" w:after="0" w:line="360" w:lineRule="auto"/>
        <w:ind w:left="567"/>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maliyyə sektorunun obyektlərinin monitorinqi.</w:t>
      </w:r>
    </w:p>
    <w:p w:rsidR="00724C11" w:rsidRPr="006B7E8B" w:rsidRDefault="00724C11" w:rsidP="006E1097">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Monitorinqin bu aspektlərinin hər biri müvafiq funksional əhəmiyyətə malikdir. Ancaq araşdırmalar göstərir ki, onun qüsurları var. Əmtəələrin monitorinqi həmyaşıdlar sisteminin təhlilidir. Bu analizlər qanunun müvafiq müvafiq müddəalarına uyğun olaraq həyata keçirilir, lakin qloballaşan dünyada həmişə bu normativ sistemlərin təkmilləşdirilməsinə ehtiyac vardır. Ekspertlərin fikrincə, bank hesabının problemini bank sisteminin beynəlxalq standartlara və TFRS-ə keçid üçün şərait yaratması üçün həll etmək; nəzarətin gücləndirilməsi və s. prosesə nəzarət. lazımdır.</w:t>
      </w:r>
    </w:p>
    <w:p w:rsidR="00724C11" w:rsidRPr="006B7E8B" w:rsidRDefault="006E1097"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ab/>
      </w:r>
      <w:r w:rsidR="00724C11" w:rsidRPr="006B7E8B">
        <w:rPr>
          <w:rFonts w:ascii="Times New Roman" w:eastAsia="MS Mincho" w:hAnsi="Times New Roman" w:cs="Times New Roman"/>
          <w:sz w:val="28"/>
          <w:szCs w:val="28"/>
          <w:lang w:val="az-Latn-AZ"/>
        </w:rPr>
        <w:t xml:space="preserve">Bu problemin həlli çərçivəsində rəhbərliyin və icraçı direktorun, bankların mühasibat uçotu və daxili nəzarət sisteminin yüksək tələblərinin təmin edilməsi zəruridir. Bundan əlavə, ənənəvi akranlar sistemi bankların öz fəaliyyətində qarşılaşdığı risklərin kompleks təhlili yeni sxemi ilə tamamlanır. Bankın fəaliyyətinin monitorinqinin bütün aspektlərinin inkişafı bunun baş verməsinə səbəb olacaqdır. Bu, bir çox hallarda risklərin müntəzəm monitorinqinə aiddir. Hazırda bu aşağıdakı aspektləri əhatə edir: </w:t>
      </w:r>
    </w:p>
    <w:p w:rsidR="00724C11" w:rsidRPr="006B7E8B"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kapitalın səlahiyyətinə nəzarət; </w:t>
      </w:r>
    </w:p>
    <w:p w:rsidR="00724C11" w:rsidRPr="006B7E8B"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kredit risklərinin monitorinqi (maliyyə təşkilatlarının kreditləşdirilməsi riski və istehlak kreditlərinin riski); </w:t>
      </w:r>
    </w:p>
    <w:p w:rsidR="00724C11" w:rsidRPr="006B7E8B"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xml:space="preserve">- likvidlik riskinin monitorinqi; </w:t>
      </w:r>
    </w:p>
    <w:p w:rsidR="00724C11" w:rsidRPr="006B7E8B" w:rsidRDefault="00724C11" w:rsidP="00724C11">
      <w:pPr>
        <w:tabs>
          <w:tab w:val="left" w:pos="851"/>
        </w:tabs>
        <w:spacing w:before="100" w:beforeAutospacing="1" w:after="0" w:line="360" w:lineRule="auto"/>
        <w:contextualSpacing/>
        <w:jc w:val="both"/>
        <w:rPr>
          <w:rFonts w:ascii="Times New Roman" w:eastAsia="MS Mincho" w:hAnsi="Times New Roman" w:cs="Times New Roman"/>
          <w:sz w:val="28"/>
          <w:szCs w:val="28"/>
          <w:lang w:val="az-Latn-AZ"/>
        </w:rPr>
      </w:pPr>
      <w:r w:rsidRPr="006B7E8B">
        <w:rPr>
          <w:rFonts w:ascii="Times New Roman" w:eastAsia="MS Mincho" w:hAnsi="Times New Roman" w:cs="Times New Roman"/>
          <w:sz w:val="28"/>
          <w:szCs w:val="28"/>
          <w:lang w:val="az-Latn-AZ"/>
        </w:rPr>
        <w:t>- bazar riskinin monitorinqi.</w:t>
      </w:r>
    </w:p>
    <w:p w:rsidR="00A52E39" w:rsidRPr="006B7E8B" w:rsidRDefault="006707B9" w:rsidP="00724C11">
      <w:pPr>
        <w:tabs>
          <w:tab w:val="left" w:pos="851"/>
        </w:tabs>
        <w:spacing w:before="100" w:beforeAutospacing="1" w:after="0" w:line="360" w:lineRule="auto"/>
        <w:ind w:firstLine="708"/>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Bankın gözlənilməz, istisna, eləcə də mümkün ola biləcək bütün həssaslıqlarını qiymətləndirməsi aləti stress test adlanır. Dünya təcrübəsində stress testlərin 2 vacib növü var: ssenari və həssaslıq təhlilləri. </w:t>
      </w:r>
    </w:p>
    <w:p w:rsidR="00A52E39" w:rsidRPr="006B7E8B" w:rsidRDefault="006707B9" w:rsidP="00A52E39">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Ssenari təhlili – bununla birlikdə bir çox risk faktorun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qala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ması bankın maliyyə vəziyyətinə effektinin dəyərləndirilməsidir. </w:t>
      </w:r>
    </w:p>
    <w:p w:rsidR="006707B9" w:rsidRPr="006B7E8B" w:rsidRDefault="006707B9" w:rsidP="00A52E39">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Həssaslıq analizi – hansısa bir risk amilinin fərqlilə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mısini, bankın maliyyə vəziyyətinə effektinin dəyərləndirilməsidir</w:t>
      </w:r>
      <w:r w:rsidR="00DC7C4C" w:rsidRPr="006B7E8B">
        <w:rPr>
          <w:rStyle w:val="FootnoteReference"/>
          <w:rFonts w:ascii="Times New Roman" w:hAnsi="Times New Roman" w:cs="Times New Roman"/>
          <w:sz w:val="28"/>
          <w:szCs w:val="28"/>
          <w:lang w:val="az-Latn-AZ"/>
        </w:rPr>
        <w:footnoteReference w:id="7"/>
      </w:r>
    </w:p>
    <w:p w:rsidR="006707B9" w:rsidRPr="006B7E8B" w:rsidRDefault="006707B9" w:rsidP="00473D1F">
      <w:pPr>
        <w:spacing w:line="360" w:lineRule="auto"/>
        <w:ind w:firstLine="708"/>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Risk amili – bank daxili və bank daxili olmayan, daha öncələr izlənilmi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və ya bankın fəaliyyət prosesinə təsir edən mümkün, ölçülən risklərə əsasən mövcud olan amillərdir. Stress testlər xüsusi vəəziyyətlərdə mövcud ola bilən hadisələrə görə risk amillərinin fərqlilik göstərməsinin bankın maliyyə vəziyyətinə potensial təsirinin dəyərləndirilməsinə görə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dırılır və bankın mümkün zəif yönlərini izləməyə, dəyərləndirməyə eləcə də cavib qabaqlayıcı tədbirləri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dirməyə imkan yaradan risklərin idarə edilməsi prosedurunun elementlərindən biri hesab olunur. Stress test sərhədlərində banklar sistemləri kəskin ziyanlara səbəb olan və risklərin idarə olunmasını mü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küllə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irən hər bir risk amilini diqqətə almalıdır. Göstərilən nüanslar bazar, kredit, likvidlik və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qa təhlükələrin hissələrini özündə birlə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dirir.</w:t>
      </w:r>
    </w:p>
    <w:p w:rsidR="006707B9" w:rsidRPr="006B7E8B" w:rsidRDefault="006707B9" w:rsidP="00473D1F">
      <w:pPr>
        <w:spacing w:line="360" w:lineRule="auto"/>
        <w:ind w:firstLine="708"/>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Stress testlərin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 ilə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ağıda göstərilənlər müəyyən olunur: </w:t>
      </w:r>
    </w:p>
    <w:p w:rsidR="006707B9" w:rsidRPr="006B7E8B"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 kapitallarının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oklara davamlılığı; </w:t>
      </w:r>
    </w:p>
    <w:p w:rsidR="006707B9" w:rsidRPr="006B7E8B" w:rsidRDefault="007F7AC2" w:rsidP="00473D1F">
      <w:pPr>
        <w:pStyle w:val="ListParagraph"/>
        <w:numPr>
          <w:ilvl w:val="0"/>
          <w:numId w:val="8"/>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ş</w:t>
      </w:r>
      <w:r w:rsidR="006707B9" w:rsidRPr="006B7E8B">
        <w:rPr>
          <w:rFonts w:ascii="Times New Roman" w:hAnsi="Times New Roman" w:cs="Times New Roman"/>
          <w:sz w:val="28"/>
          <w:szCs w:val="28"/>
          <w:lang w:val="az-Latn-AZ"/>
        </w:rPr>
        <w:t>oklar səbəbiylə bankın qar</w:t>
      </w:r>
      <w:r w:rsidRPr="006B7E8B">
        <w:rPr>
          <w:rFonts w:ascii="Times New Roman" w:hAnsi="Times New Roman" w:cs="Times New Roman"/>
          <w:sz w:val="28"/>
          <w:szCs w:val="28"/>
          <w:lang w:val="az-Latn-AZ"/>
        </w:rPr>
        <w:t>ş</w:t>
      </w:r>
      <w:r w:rsidR="006707B9" w:rsidRPr="006B7E8B">
        <w:rPr>
          <w:rFonts w:ascii="Times New Roman" w:hAnsi="Times New Roman" w:cs="Times New Roman"/>
          <w:sz w:val="28"/>
          <w:szCs w:val="28"/>
          <w:lang w:val="az-Latn-AZ"/>
        </w:rPr>
        <w:t>ıla</w:t>
      </w:r>
      <w:r w:rsidRPr="006B7E8B">
        <w:rPr>
          <w:rFonts w:ascii="Times New Roman" w:hAnsi="Times New Roman" w:cs="Times New Roman"/>
          <w:sz w:val="28"/>
          <w:szCs w:val="28"/>
          <w:lang w:val="az-Latn-AZ"/>
        </w:rPr>
        <w:t>ş</w:t>
      </w:r>
      <w:r w:rsidR="006707B9" w:rsidRPr="006B7E8B">
        <w:rPr>
          <w:rFonts w:ascii="Times New Roman" w:hAnsi="Times New Roman" w:cs="Times New Roman"/>
          <w:sz w:val="28"/>
          <w:szCs w:val="28"/>
          <w:lang w:val="az-Latn-AZ"/>
        </w:rPr>
        <w:t xml:space="preserve">dığı ən yüksək itki; </w:t>
      </w:r>
    </w:p>
    <w:p w:rsidR="006707B9" w:rsidRPr="006B7E8B"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 fəaliyyətində meydana gələn çatı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mazlıqlar; </w:t>
      </w:r>
    </w:p>
    <w:p w:rsidR="006707B9" w:rsidRPr="006B7E8B"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bir çox fərqli risklərin dəyərləndirilməsi və onların əlaqəsi; </w:t>
      </w:r>
    </w:p>
    <w:p w:rsidR="006707B9" w:rsidRPr="006B7E8B" w:rsidRDefault="006707B9" w:rsidP="00473D1F">
      <w:pPr>
        <w:pStyle w:val="ListParagraph"/>
        <w:numPr>
          <w:ilvl w:val="0"/>
          <w:numId w:val="8"/>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bankın makro iqtisadi faktorlarından asılılığı.</w:t>
      </w:r>
    </w:p>
    <w:p w:rsidR="006707B9" w:rsidRPr="006B7E8B" w:rsidRDefault="006707B9" w:rsidP="00772C6C">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Həyata keçirilən stress testlər zamanı mümkün maksimal ziyanın təyin edilməsi məqsədilə fərqli risk amillərinin birlə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məsinə nəzər yetirilməli və onların bir-biri ilə münasibətinə diqqət yetirilməlidir. Risk profilləri bir – birindən fərqli olduğuna görə, eyni zamanda dünya səviyyəsində qəbul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stress testlərin həyata keçirilməsi standartlarının mövcud olmamasına bağlı olaraq stress test modellərinin yaradılması hər bir bankda ona müvafiq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əkildə yerinə yetirilməlidir. Banklar problemin təhlil səviyyəsinə bağlı olaraq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okların analizinə görə üçün həm həssaslıq həm də ssenari analizləri yerinə yetirilməlidir</w:t>
      </w:r>
      <w:r w:rsidR="00DC7C4C" w:rsidRPr="006B7E8B">
        <w:rPr>
          <w:rStyle w:val="FootnoteReference"/>
          <w:rFonts w:ascii="Times New Roman" w:hAnsi="Times New Roman" w:cs="Times New Roman"/>
          <w:sz w:val="28"/>
          <w:szCs w:val="28"/>
          <w:lang w:val="az-Latn-AZ"/>
        </w:rPr>
        <w:footnoteReference w:id="8"/>
      </w:r>
      <w:r w:rsidRPr="006B7E8B">
        <w:rPr>
          <w:rFonts w:ascii="Times New Roman" w:hAnsi="Times New Roman" w:cs="Times New Roman"/>
          <w:sz w:val="28"/>
          <w:szCs w:val="28"/>
          <w:lang w:val="az-Latn-AZ"/>
        </w:rPr>
        <w:t>.</w:t>
      </w:r>
    </w:p>
    <w:p w:rsidR="006707B9" w:rsidRPr="006B7E8B" w:rsidRDefault="006707B9" w:rsidP="00772C6C">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Hər bir bank ilkin olaraq stress testlərin yerinə yetirilməsi üçün onlara təsir edə biləcək risk formalarını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dirməli və müəyyən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hər bir risk və onun kateqoriyası üzrə stress testləri tətbiq etməlidir. Ilk olaraq hər bir risk qrupu üzrə banka effekti olan makro və mikroiqtisadi risk fəaliyyətləri təyin olunmalı, onların tarixi hərəkətliliyinə nəzər yetirməli və bankın maliyyə hesabatlarının hərtərəfli analizi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 Sözügedən analizlər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dırıldıqdan sonra banka təsiri ola biləcək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 təyin edilməlidir.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 stress testin həyata keçirilmə niyyətinə bağlı olaraq hər hansı bir istiqamətdə və ya qrup formasında olması mümkündür. Stress test prosedurlarında hadisələrin qeyri-adilik və ehtimal xüsusiyyətlərinin əlaqəsi diqqətə alınmalıdır. </w:t>
      </w:r>
    </w:p>
    <w:p w:rsidR="006707B9" w:rsidRPr="006B7E8B" w:rsidRDefault="006707B9" w:rsidP="00772C6C">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Onu da qeyd etməliyik ki, stress testlər hadisələrin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vermə mümkünlüyünü təyin etmir. Bu səbəblə ssenarilərin seçilməsində hadisələrin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vermə mümkünlüyünün anla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ılması vacib nüansdır. Stress testin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dırılması üçün istismar edilən informasiyaların dəqiqliyi və aktuallığı mütləq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izlənməlidir. Bu halda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lədilən hesabatların daimilik və müqayisəlilik xüsusiyyətlərinə müvafiqliyinin təmin edilməsi diqqətə alınmalıdır</w:t>
      </w:r>
      <w:r w:rsidR="00DC7C4C" w:rsidRPr="006B7E8B">
        <w:rPr>
          <w:rFonts w:ascii="Times New Roman" w:hAnsi="Times New Roman" w:cs="Times New Roman"/>
          <w:sz w:val="28"/>
          <w:szCs w:val="28"/>
          <w:lang w:val="az-Latn-AZ"/>
        </w:rPr>
        <w:t>.</w:t>
      </w:r>
    </w:p>
    <w:p w:rsidR="006707B9" w:rsidRPr="006B7E8B" w:rsidRDefault="006707B9" w:rsidP="00772C6C">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Stress testdə qəbul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hər bir fərziyyə analiz olunmalı və əsaslı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izlənməlidir. Stress testlər tətbiq olunarkən “ən pis”, “ən yax</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və “ehtimal olunan” ssenariləri hazırlanmalı və fərziyyələr daxil edilməklə hər bir ssenari üçün ayrıca nüanslar və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oklar tətbiq edilməlidir. Stress testlərin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dırılması zamanı risk amillərinin müəyyən olunmasında ancaq əvvəlki məlumatlara baxmaq düzgün olmayan nəticələrə səbəb ola bilər. </w:t>
      </w:r>
    </w:p>
    <w:p w:rsidR="006707B9" w:rsidRPr="006B7E8B" w:rsidRDefault="006707B9" w:rsidP="00473D1F">
      <w:pPr>
        <w:spacing w:line="360" w:lineRule="auto"/>
        <w:ind w:firstLine="708"/>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Bankın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dığı risk amillərinin sayı həddən artıq çox olduqda bu amillərin arasından ancaq bankın əməliyyatlarına ciddi təsiri ola biləcək əsas risk amilləri götürülməli və onların bankın maliyyə vəziyyətinə effektinə diqqət yetirilməlidir. Stress testlər tətbiq olunarkən ən azından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ağıdakılara diqqət yetirmək vacibdir</w:t>
      </w:r>
      <w:r w:rsidR="00DC7C4C" w:rsidRPr="006B7E8B">
        <w:rPr>
          <w:rStyle w:val="FootnoteReference"/>
          <w:rFonts w:ascii="Times New Roman" w:hAnsi="Times New Roman" w:cs="Times New Roman"/>
          <w:sz w:val="28"/>
          <w:szCs w:val="28"/>
          <w:lang w:val="az-Latn-AZ"/>
        </w:rPr>
        <w:footnoteReference w:id="9"/>
      </w:r>
      <w:r w:rsidRPr="006B7E8B">
        <w:rPr>
          <w:rFonts w:ascii="Times New Roman" w:hAnsi="Times New Roman" w:cs="Times New Roman"/>
          <w:sz w:val="28"/>
          <w:szCs w:val="28"/>
          <w:lang w:val="az-Latn-AZ"/>
        </w:rPr>
        <w:t xml:space="preserve">: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müxtəlif sferalarda meydana gələn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 proseslərin bankın kredit xüsusiyyətinə və onun vəziyyətinə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ÜDM-də meydana gələn fərqliliklərin bankın kredit və </w:t>
      </w:r>
      <w:r w:rsidR="00C801BA" w:rsidRPr="006B7E8B">
        <w:rPr>
          <w:rFonts w:ascii="Times New Roman" w:hAnsi="Times New Roman" w:cs="Times New Roman"/>
          <w:sz w:val="28"/>
          <w:szCs w:val="28"/>
          <w:lang w:val="az-Latn-AZ"/>
        </w:rPr>
        <w:t>depoz</w:t>
      </w:r>
      <w:r w:rsidRPr="006B7E8B">
        <w:rPr>
          <w:rFonts w:ascii="Times New Roman" w:hAnsi="Times New Roman" w:cs="Times New Roman"/>
          <w:sz w:val="28"/>
          <w:szCs w:val="28"/>
          <w:lang w:val="az-Latn-AZ"/>
        </w:rPr>
        <w:t xml:space="preserve">it profilinə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dev</w:t>
      </w:r>
      <w:r w:rsidR="00C801BA" w:rsidRPr="006B7E8B">
        <w:rPr>
          <w:rFonts w:ascii="Times New Roman" w:hAnsi="Times New Roman" w:cs="Times New Roman"/>
          <w:sz w:val="28"/>
          <w:szCs w:val="28"/>
          <w:lang w:val="az-Latn-AZ"/>
        </w:rPr>
        <w:t>a</w:t>
      </w:r>
      <w:r w:rsidRPr="006B7E8B">
        <w:rPr>
          <w:rFonts w:ascii="Times New Roman" w:hAnsi="Times New Roman" w:cs="Times New Roman"/>
          <w:sz w:val="28"/>
          <w:szCs w:val="28"/>
          <w:lang w:val="az-Latn-AZ"/>
        </w:rPr>
        <w:t>l</w:t>
      </w:r>
      <w:r w:rsidR="00C801BA" w:rsidRPr="006B7E8B">
        <w:rPr>
          <w:rFonts w:ascii="Times New Roman" w:hAnsi="Times New Roman" w:cs="Times New Roman"/>
          <w:sz w:val="28"/>
          <w:szCs w:val="28"/>
          <w:lang w:val="az-Latn-AZ"/>
        </w:rPr>
        <w:t>va</w:t>
      </w:r>
      <w:r w:rsidRPr="006B7E8B">
        <w:rPr>
          <w:rFonts w:ascii="Times New Roman" w:hAnsi="Times New Roman" w:cs="Times New Roman"/>
          <w:sz w:val="28"/>
          <w:szCs w:val="28"/>
          <w:lang w:val="az-Latn-AZ"/>
        </w:rPr>
        <w:t>siya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kənliyinin bank məhsullarının faizlərinə və kredit profilinə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bankın müxtəlif məhsullarının faiz dərəcələrinə təsir edə biləcək faktorlarda meydana gələn fərqliliklərin faiz dərəcələri ilə birlikdə bankın mənfəətinə, pul vəsaitinə, kredit və </w:t>
      </w:r>
      <w:r w:rsidR="00C801BA" w:rsidRPr="006B7E8B">
        <w:rPr>
          <w:rFonts w:ascii="Times New Roman" w:hAnsi="Times New Roman" w:cs="Times New Roman"/>
          <w:sz w:val="28"/>
          <w:szCs w:val="28"/>
          <w:lang w:val="az-Latn-AZ"/>
        </w:rPr>
        <w:t xml:space="preserve">depozit </w:t>
      </w:r>
      <w:r w:rsidRPr="006B7E8B">
        <w:rPr>
          <w:rFonts w:ascii="Times New Roman" w:hAnsi="Times New Roman" w:cs="Times New Roman"/>
          <w:sz w:val="28"/>
          <w:szCs w:val="28"/>
          <w:lang w:val="az-Latn-AZ"/>
        </w:rPr>
        <w:t xml:space="preserve">profilinə, xarici valyutada olan aktiv və öhdəliklərinə olan təsir;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lək olmayan kreditlərin qurulu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unda meydana gəlmi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fərqliliklərin bankın xeyirinə, kapitalına və likvidliyinə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iri kreditlərlə əlaqədar meydana gəlmi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məsələlərin bankın kredit profilinə, likvidliyinə və xeyirinə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bankın xarici borclarının, ödənilməli olan vaxtdan əvvəl ödənilməsinə göstərilən təzyiqin bankın likvidliyinə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bankın iri depozitlərinin geri götürülməsinin bankın likvidliyinə təsiri;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bankda yüksək likvidli pul vasitələrinin miqdarının azalmasının yeni kreditlərə təsiri;</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əməliyyat gəlirinin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 dü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 və/və ya əməliyyat məsrəfinin yüksəlməsinə təsir edən faktorların kəskin fərqlilə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məsi;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maliyyələ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mə zamanı meydana gələn problemlər;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təminat dəyərinin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mə problemi; </w:t>
      </w:r>
    </w:p>
    <w:p w:rsidR="006707B9" w:rsidRPr="006B7E8B" w:rsidRDefault="006707B9" w:rsidP="00473D1F">
      <w:pPr>
        <w:pStyle w:val="ListParagraph"/>
        <w:numPr>
          <w:ilvl w:val="0"/>
          <w:numId w:val="9"/>
        </w:numPr>
        <w:spacing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xarici valyutanın rəsmi məzənnəsinin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w:t>
      </w:r>
    </w:p>
    <w:p w:rsidR="00E32FD5"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Operativ qərar qəbul edib, öz fəaliyyət sistemlərinin səmərililiyinə nəzər yetirmək üçün, ayda bir dəfə stress test keçirməlidirlə</w:t>
      </w:r>
      <w:r w:rsidR="00C801BA" w:rsidRPr="006B7E8B">
        <w:rPr>
          <w:rFonts w:ascii="Times New Roman" w:hAnsi="Times New Roman" w:cs="Times New Roman"/>
          <w:sz w:val="28"/>
          <w:szCs w:val="28"/>
          <w:lang w:val="az-Latn-AZ"/>
        </w:rPr>
        <w:t>r. S</w:t>
      </w:r>
      <w:r w:rsidRPr="006B7E8B">
        <w:rPr>
          <w:rFonts w:ascii="Times New Roman" w:hAnsi="Times New Roman" w:cs="Times New Roman"/>
          <w:sz w:val="28"/>
          <w:szCs w:val="28"/>
          <w:lang w:val="az-Latn-AZ"/>
        </w:rPr>
        <w:t xml:space="preserve">tress testlərin həyata keçirilməsinə bankın rəhbər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əxsləri özləri nəzarət etməlidirlər. Stress test forması, eləcə də stress testin tətbiq edilməsi zamanı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lədilən fərziyələr bankın risklərin idarə olunması bölməsinin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tirakı ilə hazırlanmalı, Risklərin idarə edilməsi komitəsi tərəfindən yoxlanılmalı və Mü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ahidə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urası tərəfindən təsdiqlənməlidir. </w:t>
      </w:r>
      <w:r w:rsidR="00C801BA" w:rsidRPr="006B7E8B">
        <w:rPr>
          <w:rFonts w:ascii="Times New Roman" w:hAnsi="Times New Roman" w:cs="Times New Roman"/>
          <w:sz w:val="28"/>
          <w:szCs w:val="28"/>
          <w:lang w:val="az-Latn-AZ"/>
        </w:rPr>
        <w:t>Yarad</w:t>
      </w:r>
      <w:r w:rsidRPr="006B7E8B">
        <w:rPr>
          <w:rFonts w:ascii="Times New Roman" w:hAnsi="Times New Roman" w:cs="Times New Roman"/>
          <w:sz w:val="28"/>
          <w:szCs w:val="28"/>
          <w:lang w:val="az-Latn-AZ"/>
        </w:rPr>
        <w:t>ılmı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modelə ən azı ildə bir dəfə, zəruri vəziyyətlərdə isə daimi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yenidən nəzər yetirilməlidir.  Modeldə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lədilən ehtimal hallara və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oklara hər bir stress test tətbiq edilərkən fərdi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əkildə nəzər yetirilməli və təsdiq olunmalıdır. Bankın idarə heyəti stress testin aktuallığına daimi olaraq diqqət etməli və bankın daimi tərəqqisinin təmin olunması və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ok vəziyyətlərə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dözümlülüyünün daha da gecləndirilməsi məqsədilə stress testlərin dəqiqlə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dirilməsi və modifikasiyasına davamlı olaraq diqqət etməlidir. Əsas nəzər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ok vəziyyətlərində bankın hansı planları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dıracağını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dirməyə istiqamətləndirilməlidir. Buna görə də, stress test nəticəsində əldə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nəticələr bank rəhbərliyinə təqdim olunmalı və risk vəziyyətləri üçün qabaqlayıcı tədbirlər görülməsi məqsədi ilə tədbirlər planı yaradılmalıdır. Stress testin nəticəsi kimi bankın gözlənilməyən riskli vəziyyətlər planına yenidən nəzər yetirilməli və lazım olduqda əlavələr və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ikliklər olunmalıdır</w:t>
      </w:r>
      <w:r w:rsidR="00DC7C4C" w:rsidRPr="006B7E8B">
        <w:rPr>
          <w:rStyle w:val="FootnoteReference"/>
          <w:rFonts w:ascii="Times New Roman" w:hAnsi="Times New Roman" w:cs="Times New Roman"/>
          <w:sz w:val="28"/>
          <w:szCs w:val="28"/>
          <w:lang w:val="az-Latn-AZ"/>
        </w:rPr>
        <w:footnoteReference w:id="10"/>
      </w:r>
      <w:r w:rsidR="00E32FD5" w:rsidRPr="006B7E8B">
        <w:rPr>
          <w:rFonts w:ascii="Times New Roman" w:hAnsi="Times New Roman" w:cs="Times New Roman"/>
          <w:sz w:val="28"/>
          <w:szCs w:val="28"/>
          <w:lang w:val="az-Latn-AZ"/>
        </w:rPr>
        <w:t>.</w:t>
      </w:r>
    </w:p>
    <w:p w:rsidR="006707B9"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Hesabatlıq. Hər bir tətbiq edilmi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stress testin nəticəsi haqqında hesabat hazırlanmalı və bankın Mü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ahidə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urasına təqdim olunmalıdır. Hazırlanan hesabatda ən azı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ağıdakılar qeyd olunmalıdır olunmalıdır: </w:t>
      </w:r>
    </w:p>
    <w:p w:rsidR="006707B9"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stress testdə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lədilən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okların səbəbi və bu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okların tətbiqinin səbəbləri; </w:t>
      </w:r>
    </w:p>
    <w:p w:rsidR="006707B9"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stress testdə qəbul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ehtimalların siyahısı və bu fərziyyələrin əsaslandırılması; </w:t>
      </w:r>
    </w:p>
    <w:p w:rsidR="006707B9"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stress testdə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lədilmi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informasiyalar haqqında geni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hesabat; </w:t>
      </w:r>
    </w:p>
    <w:p w:rsidR="006707B9" w:rsidRPr="006B7E8B" w:rsidRDefault="006707B9" w:rsidP="00E32FD5">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stress testin tətbiq edilməsi ilə əldə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nəticələr haqqında geni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tədbirlər toplusunu özündə birlə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dirən tədbirlər planı.</w:t>
      </w:r>
    </w:p>
    <w:p w:rsidR="006707B9" w:rsidRPr="006B7E8B" w:rsidRDefault="006707B9" w:rsidP="00E32FD5">
      <w:pPr>
        <w:spacing w:line="360" w:lineRule="auto"/>
        <w:ind w:firstLine="709"/>
        <w:contextualSpacing/>
        <w:jc w:val="both"/>
        <w:rPr>
          <w:rFonts w:ascii="Times New Roman" w:hAnsi="Times New Roman" w:cs="Times New Roman"/>
          <w:noProof/>
          <w:sz w:val="28"/>
          <w:szCs w:val="28"/>
          <w:lang w:val="az-Latn-AZ" w:eastAsia="ru-RU"/>
        </w:rPr>
      </w:pPr>
      <w:r w:rsidRPr="006B7E8B">
        <w:rPr>
          <w:rFonts w:ascii="Times New Roman" w:hAnsi="Times New Roman" w:cs="Times New Roman"/>
          <w:noProof/>
          <w:sz w:val="28"/>
          <w:szCs w:val="28"/>
          <w:lang w:val="az-Latn-AZ" w:eastAsia="ru-RU"/>
        </w:rPr>
        <w:t>İqtisadi sferada yarana biləcək maliyyə böhranı, qlobal maliyyə böhranı, maliyyə böhranlarının bank sisteminə təsirləri barəsində məlumat verdikdən sonra iqtisadi maliyyə böhranlarının banklarda diaqnostik təhlilini həyata keçirmək üçün nümunə olaraq seçdiyimiz iki bankın maliyyə hesabatlarını nəzərdən keçirək. Nümunə olaraq seçdiyimiz, Access bank və Kapital bankın maliyyə hesabatlarına eləcə də, mənfəət və zərərlər qar</w:t>
      </w:r>
      <w:r w:rsidR="007F7AC2" w:rsidRPr="006B7E8B">
        <w:rPr>
          <w:rFonts w:ascii="Times New Roman" w:hAnsi="Times New Roman" w:cs="Times New Roman"/>
          <w:noProof/>
          <w:sz w:val="28"/>
          <w:szCs w:val="28"/>
          <w:lang w:val="az-Latn-AZ" w:eastAsia="ru-RU"/>
        </w:rPr>
        <w:t>ş</w:t>
      </w:r>
      <w:r w:rsidRPr="006B7E8B">
        <w:rPr>
          <w:rFonts w:ascii="Times New Roman" w:hAnsi="Times New Roman" w:cs="Times New Roman"/>
          <w:noProof/>
          <w:sz w:val="28"/>
          <w:szCs w:val="28"/>
          <w:lang w:val="az-Latn-AZ" w:eastAsia="ru-RU"/>
        </w:rPr>
        <w:t>ıla</w:t>
      </w:r>
      <w:r w:rsidR="007F7AC2" w:rsidRPr="006B7E8B">
        <w:rPr>
          <w:rFonts w:ascii="Times New Roman" w:hAnsi="Times New Roman" w:cs="Times New Roman"/>
          <w:noProof/>
          <w:sz w:val="28"/>
          <w:szCs w:val="28"/>
          <w:lang w:val="az-Latn-AZ" w:eastAsia="ru-RU"/>
        </w:rPr>
        <w:t>ş</w:t>
      </w:r>
      <w:r w:rsidRPr="006B7E8B">
        <w:rPr>
          <w:rFonts w:ascii="Times New Roman" w:hAnsi="Times New Roman" w:cs="Times New Roman"/>
          <w:noProof/>
          <w:sz w:val="28"/>
          <w:szCs w:val="28"/>
          <w:lang w:val="az-Latn-AZ" w:eastAsia="ru-RU"/>
        </w:rPr>
        <w:t>dırmalarına baxaraq, bankların böhran vəziyyətində olub olmadıqlarını təhlil edə bilərik.</w:t>
      </w:r>
    </w:p>
    <w:p w:rsidR="00DF1AEC" w:rsidRPr="006B7E8B" w:rsidRDefault="00DF1AEC" w:rsidP="006B7E8B">
      <w:pPr>
        <w:spacing w:line="360" w:lineRule="auto"/>
        <w:ind w:firstLine="708"/>
        <w:jc w:val="center"/>
        <w:rPr>
          <w:rFonts w:ascii="Times New Roman" w:hAnsi="Times New Roman" w:cs="Times New Roman"/>
          <w:noProof/>
          <w:sz w:val="28"/>
          <w:szCs w:val="28"/>
          <w:lang w:val="az-Latn-AZ" w:eastAsia="ru-RU"/>
        </w:rPr>
      </w:pPr>
      <w:r w:rsidRPr="006B7E8B">
        <w:rPr>
          <w:rFonts w:ascii="Times New Roman" w:hAnsi="Times New Roman" w:cs="Times New Roman"/>
          <w:b/>
          <w:noProof/>
          <w:sz w:val="28"/>
          <w:szCs w:val="28"/>
          <w:lang w:val="az-Latn-AZ" w:eastAsia="ru-RU"/>
        </w:rPr>
        <w:t>Cədvəl 2.1.</w:t>
      </w:r>
      <w:r w:rsidR="006B7E8B">
        <w:rPr>
          <w:rFonts w:ascii="Times New Roman" w:hAnsi="Times New Roman" w:cs="Times New Roman"/>
          <w:b/>
          <w:noProof/>
          <w:sz w:val="28"/>
          <w:szCs w:val="28"/>
          <w:lang w:val="az-Latn-AZ" w:eastAsia="ru-RU"/>
        </w:rPr>
        <w:t xml:space="preserve"> </w:t>
      </w:r>
      <w:r w:rsidRPr="006B7E8B">
        <w:rPr>
          <w:rFonts w:ascii="Times New Roman" w:hAnsi="Times New Roman" w:cs="Times New Roman"/>
          <w:noProof/>
          <w:sz w:val="28"/>
          <w:szCs w:val="28"/>
          <w:lang w:val="az-Latn-AZ" w:eastAsia="ru-RU"/>
        </w:rPr>
        <w:t>Devalvasiyadan əvvəl (2006-2007-ci illərdə) Access bankın iqtisadi vəziyyəti</w:t>
      </w:r>
    </w:p>
    <w:tbl>
      <w:tblPr>
        <w:tblW w:w="9366" w:type="dxa"/>
        <w:tblLayout w:type="fixed"/>
        <w:tblCellMar>
          <w:left w:w="10" w:type="dxa"/>
          <w:right w:w="10" w:type="dxa"/>
        </w:tblCellMar>
        <w:tblLook w:val="0000" w:firstRow="0" w:lastRow="0" w:firstColumn="0" w:lastColumn="0" w:noHBand="0" w:noVBand="0"/>
      </w:tblPr>
      <w:tblGrid>
        <w:gridCol w:w="5964"/>
        <w:gridCol w:w="1701"/>
        <w:gridCol w:w="1395"/>
        <w:gridCol w:w="306"/>
      </w:tblGrid>
      <w:tr w:rsidR="00DD0C3F" w:rsidRPr="006B7E8B" w:rsidTr="00DF1AEC">
        <w:trPr>
          <w:trHeight w:hRule="exact" w:val="270"/>
        </w:trPr>
        <w:tc>
          <w:tcPr>
            <w:tcW w:w="5964" w:type="dxa"/>
            <w:shd w:val="clear" w:color="auto" w:fill="000000"/>
            <w:vAlign w:val="bottom"/>
          </w:tcPr>
          <w:p w:rsidR="00DD0C3F" w:rsidRPr="006B7E8B" w:rsidRDefault="00DD0C3F" w:rsidP="00DD0C3F">
            <w:pPr>
              <w:ind w:firstLine="708"/>
              <w:jc w:val="both"/>
              <w:rPr>
                <w:rFonts w:ascii="Times New Roman" w:hAnsi="Times New Roman" w:cs="Times New Roman"/>
                <w:noProof/>
                <w:sz w:val="24"/>
                <w:szCs w:val="20"/>
                <w:lang w:val="az-Latn-AZ" w:eastAsia="ru-RU"/>
              </w:rPr>
            </w:pPr>
          </w:p>
        </w:tc>
        <w:tc>
          <w:tcPr>
            <w:tcW w:w="3402" w:type="dxa"/>
            <w:gridSpan w:val="3"/>
            <w:shd w:val="clear" w:color="auto" w:fill="000000"/>
            <w:vAlign w:val="bottom"/>
          </w:tcPr>
          <w:p w:rsidR="00DF1AEC" w:rsidRPr="006B7E8B" w:rsidRDefault="00DF1AEC" w:rsidP="00DD0C3F">
            <w:pPr>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2007                                    2006</w:t>
            </w:r>
          </w:p>
        </w:tc>
      </w:tr>
      <w:tr w:rsidR="00DF1AEC" w:rsidRPr="000F0FA4" w:rsidTr="00DF1AEC">
        <w:trPr>
          <w:trHeight w:hRule="exact" w:val="270"/>
        </w:trPr>
        <w:tc>
          <w:tcPr>
            <w:tcW w:w="5964" w:type="dxa"/>
            <w:shd w:val="clear" w:color="auto" w:fill="000000"/>
            <w:vAlign w:val="bottom"/>
          </w:tcPr>
          <w:p w:rsidR="00DF1AEC" w:rsidRPr="006B7E8B" w:rsidRDefault="00DF1AEC" w:rsidP="007F7AC2">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Balans cədvəli predmetləri</w:t>
            </w:r>
          </w:p>
        </w:tc>
        <w:tc>
          <w:tcPr>
            <w:tcW w:w="3402" w:type="dxa"/>
            <w:gridSpan w:val="3"/>
            <w:shd w:val="clear" w:color="auto" w:fill="000000"/>
            <w:vAlign w:val="bottom"/>
          </w:tcPr>
          <w:p w:rsidR="00DF1AEC" w:rsidRPr="006B7E8B" w:rsidRDefault="00DF1AEC" w:rsidP="007F7AC2">
            <w:pPr>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 xml:space="preserve">USD </w:t>
            </w:r>
            <w:r w:rsidRPr="006B7E8B">
              <w:rPr>
                <w:rFonts w:ascii="Times New Roman" w:hAnsi="Times New Roman" w:cs="Times New Roman"/>
                <w:noProof/>
                <w:sz w:val="24"/>
                <w:szCs w:val="20"/>
                <w:lang w:val="az-Latn-AZ" w:eastAsia="ru-RU" w:bidi="en-US"/>
              </w:rPr>
              <w:t xml:space="preserve">(thousand) </w:t>
            </w:r>
            <w:r w:rsidRPr="006B7E8B">
              <w:rPr>
                <w:rFonts w:ascii="Times New Roman" w:hAnsi="Times New Roman" w:cs="Times New Roman"/>
                <w:noProof/>
                <w:sz w:val="24"/>
                <w:szCs w:val="20"/>
                <w:lang w:val="en-US" w:eastAsia="ru-RU"/>
              </w:rPr>
              <w:t>/ AB</w:t>
            </w:r>
            <w:r w:rsidR="007F7AC2" w:rsidRPr="006B7E8B">
              <w:rPr>
                <w:rFonts w:ascii="Times New Roman" w:hAnsi="Times New Roman" w:cs="Times New Roman"/>
                <w:noProof/>
                <w:sz w:val="24"/>
                <w:szCs w:val="20"/>
                <w:lang w:val="en-US" w:eastAsia="ru-RU"/>
              </w:rPr>
              <w:t>ş</w:t>
            </w:r>
            <w:r w:rsidRPr="006B7E8B">
              <w:rPr>
                <w:rFonts w:ascii="Times New Roman" w:hAnsi="Times New Roman" w:cs="Times New Roman"/>
                <w:noProof/>
                <w:sz w:val="24"/>
                <w:szCs w:val="20"/>
                <w:lang w:val="en-US" w:eastAsia="ru-RU"/>
              </w:rPr>
              <w:t xml:space="preserve"> dollar (min)</w:t>
            </w:r>
          </w:p>
          <w:p w:rsidR="00DF1AEC" w:rsidRPr="006B7E8B" w:rsidRDefault="00DF1AEC" w:rsidP="007F7AC2">
            <w:pPr>
              <w:jc w:val="both"/>
              <w:rPr>
                <w:rFonts w:ascii="Times New Roman" w:hAnsi="Times New Roman" w:cs="Times New Roman"/>
                <w:noProof/>
                <w:sz w:val="24"/>
                <w:szCs w:val="20"/>
                <w:lang w:val="en-US" w:eastAsia="ru-RU"/>
              </w:rPr>
            </w:pPr>
          </w:p>
        </w:tc>
      </w:tr>
      <w:tr w:rsidR="00DF1AEC" w:rsidRPr="006B7E8B" w:rsidTr="00DF1AEC">
        <w:trPr>
          <w:gridAfter w:val="1"/>
          <w:wAfter w:w="306" w:type="dxa"/>
          <w:trHeight w:hRule="exact" w:val="375"/>
        </w:trPr>
        <w:tc>
          <w:tcPr>
            <w:tcW w:w="5964" w:type="dxa"/>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Ümumi Aktivlər</w:t>
            </w:r>
          </w:p>
        </w:tc>
        <w:tc>
          <w:tcPr>
            <w:tcW w:w="1701" w:type="dxa"/>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133 250</w:t>
            </w:r>
          </w:p>
        </w:tc>
        <w:tc>
          <w:tcPr>
            <w:tcW w:w="1395" w:type="dxa"/>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55 406</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Likvid Aktivlər</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16 579</w:t>
            </w:r>
          </w:p>
        </w:tc>
        <w:tc>
          <w:tcPr>
            <w:tcW w:w="1395"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6 229</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Biznes Kredit Portfeli (xalis)</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98 817</w:t>
            </w:r>
          </w:p>
        </w:tc>
        <w:tc>
          <w:tcPr>
            <w:tcW w:w="1395"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44 124</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Mikro Kreditlər (&lt; 10,000$)</w:t>
            </w:r>
          </w:p>
        </w:tc>
        <w:tc>
          <w:tcPr>
            <w:tcW w:w="1701"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42 302</w:t>
            </w:r>
          </w:p>
        </w:tc>
        <w:tc>
          <w:tcPr>
            <w:tcW w:w="1395"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18 302</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Kiçik Kreditlər (&gt; 10,000$ &lt;100,000$)</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35 620</w:t>
            </w:r>
          </w:p>
        </w:tc>
        <w:tc>
          <w:tcPr>
            <w:tcW w:w="1395"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19 269</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Orta Həcmli Kreditlər (&gt; 100,000$)</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20 895</w:t>
            </w:r>
          </w:p>
        </w:tc>
        <w:tc>
          <w:tcPr>
            <w:tcW w:w="1395" w:type="dxa"/>
            <w:tcBorders>
              <w:top w:val="single" w:sz="4" w:space="0" w:color="auto"/>
            </w:tcBorders>
            <w:shd w:val="clear" w:color="auto" w:fill="FFFFFF"/>
            <w:vAlign w:val="bottom"/>
          </w:tcPr>
          <w:p w:rsidR="00DF1AEC" w:rsidRPr="006B7E8B" w:rsidRDefault="00DF1AEC" w:rsidP="00DF1AEC">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6 553</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İstehlak Krediti Portfeli (xalis)</w:t>
            </w:r>
          </w:p>
        </w:tc>
        <w:tc>
          <w:tcPr>
            <w:tcW w:w="1701" w:type="dxa"/>
            <w:tcBorders>
              <w:top w:val="single" w:sz="4" w:space="0" w:color="auto"/>
            </w:tcBorders>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9 461</w:t>
            </w:r>
          </w:p>
        </w:tc>
        <w:tc>
          <w:tcPr>
            <w:tcW w:w="1395" w:type="dxa"/>
            <w:tcBorders>
              <w:top w:val="single" w:sz="4" w:space="0" w:color="auto"/>
            </w:tcBorders>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1 866</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Digər Kreditlər (xalis)</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1 822</w:t>
            </w:r>
          </w:p>
        </w:tc>
        <w:tc>
          <w:tcPr>
            <w:tcW w:w="1395"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668</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Yığılmı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eastAsia="ru-RU"/>
              </w:rPr>
              <w:t xml:space="preserve"> faizlər</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eastAsia="ru-RU"/>
              </w:rPr>
              <w:t>1 075</w:t>
            </w:r>
            <w:r w:rsidRPr="006B7E8B">
              <w:rPr>
                <w:rFonts w:ascii="Times New Roman" w:hAnsi="Times New Roman" w:cs="Times New Roman"/>
                <w:noProof/>
                <w:sz w:val="24"/>
                <w:szCs w:val="20"/>
                <w:lang w:val="en-US" w:eastAsia="ru-RU"/>
              </w:rPr>
              <w:t xml:space="preserve">                 </w:t>
            </w:r>
          </w:p>
        </w:tc>
        <w:tc>
          <w:tcPr>
            <w:tcW w:w="1395" w:type="dxa"/>
            <w:tcBorders>
              <w:top w:val="single" w:sz="4" w:space="0" w:color="auto"/>
            </w:tcBorders>
            <w:shd w:val="clear" w:color="auto" w:fill="FFFFFF"/>
            <w:vAlign w:val="bottom"/>
          </w:tcPr>
          <w:p w:rsidR="00DF1AEC" w:rsidRPr="006B7E8B" w:rsidRDefault="00DF1AEC" w:rsidP="00DF1AEC">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83</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Xalis Kredit Portfeli</w:t>
            </w:r>
          </w:p>
        </w:tc>
        <w:tc>
          <w:tcPr>
            <w:tcW w:w="1701"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eastAsia="ru-RU"/>
              </w:rPr>
              <w:t>111 175</w:t>
            </w:r>
            <w:r w:rsidRPr="006B7E8B">
              <w:rPr>
                <w:rFonts w:ascii="Times New Roman" w:hAnsi="Times New Roman" w:cs="Times New Roman"/>
                <w:noProof/>
                <w:sz w:val="24"/>
                <w:szCs w:val="20"/>
                <w:lang w:val="en-US" w:eastAsia="ru-RU"/>
              </w:rPr>
              <w:t xml:space="preserve">   </w:t>
            </w:r>
          </w:p>
        </w:tc>
        <w:tc>
          <w:tcPr>
            <w:tcW w:w="1395" w:type="dxa"/>
            <w:tcBorders>
              <w:top w:val="single" w:sz="4" w:space="0" w:color="auto"/>
            </w:tcBorders>
            <w:shd w:val="clear" w:color="auto" w:fill="FFFFFF"/>
          </w:tcPr>
          <w:p w:rsidR="00DF1AEC" w:rsidRPr="006B7E8B" w:rsidRDefault="00DF1AEC" w:rsidP="00DF1AEC">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 xml:space="preserve">             </w:t>
            </w:r>
            <w:r w:rsidRPr="006B7E8B">
              <w:rPr>
                <w:rFonts w:ascii="Times New Roman" w:hAnsi="Times New Roman" w:cs="Times New Roman"/>
                <w:noProof/>
                <w:sz w:val="24"/>
                <w:szCs w:val="20"/>
                <w:lang w:eastAsia="ru-RU"/>
              </w:rPr>
              <w:t>46 741</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 xml:space="preserve">ə </w:t>
            </w:r>
            <w:r w:rsidRPr="006B7E8B">
              <w:rPr>
                <w:rFonts w:ascii="Times New Roman" w:hAnsi="Times New Roman" w:cs="Times New Roman"/>
                <w:noProof/>
                <w:sz w:val="24"/>
                <w:szCs w:val="20"/>
                <w:lang w:val="en-US" w:eastAsia="ru-RU"/>
              </w:rPr>
              <w:t>sas</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v</w:t>
            </w:r>
            <w:r w:rsidRPr="006B7E8B">
              <w:rPr>
                <w:rFonts w:ascii="Times New Roman" w:hAnsi="Times New Roman" w:cs="Times New Roman"/>
                <w:noProof/>
                <w:sz w:val="24"/>
                <w:szCs w:val="20"/>
                <w:lang w:eastAsia="ru-RU"/>
              </w:rPr>
              <w:t xml:space="preserve">ə ə </w:t>
            </w:r>
            <w:r w:rsidRPr="006B7E8B">
              <w:rPr>
                <w:rFonts w:ascii="Times New Roman" w:hAnsi="Times New Roman" w:cs="Times New Roman"/>
                <w:noProof/>
                <w:sz w:val="24"/>
                <w:szCs w:val="20"/>
                <w:lang w:val="en-US" w:eastAsia="ru-RU"/>
              </w:rPr>
              <w:t>lav</w:t>
            </w:r>
            <w:r w:rsidRPr="006B7E8B">
              <w:rPr>
                <w:rFonts w:ascii="Times New Roman" w:hAnsi="Times New Roman" w:cs="Times New Roman"/>
                <w:noProof/>
                <w:sz w:val="24"/>
                <w:szCs w:val="20"/>
                <w:lang w:eastAsia="ru-RU"/>
              </w:rPr>
              <w:t xml:space="preserve">ə </w:t>
            </w:r>
            <w:r w:rsidRPr="006B7E8B">
              <w:rPr>
                <w:rFonts w:ascii="Times New Roman" w:hAnsi="Times New Roman" w:cs="Times New Roman"/>
                <w:noProof/>
                <w:sz w:val="24"/>
                <w:szCs w:val="20"/>
                <w:lang w:val="en-US" w:eastAsia="ru-RU"/>
              </w:rPr>
              <w:t>Aktivl</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r</w:t>
            </w:r>
          </w:p>
        </w:tc>
        <w:tc>
          <w:tcPr>
            <w:tcW w:w="1701"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5 495</w:t>
            </w:r>
          </w:p>
        </w:tc>
        <w:tc>
          <w:tcPr>
            <w:tcW w:w="1395"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2 436</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Mü</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eastAsia="ru-RU"/>
              </w:rPr>
              <w:t>təri Depozitləri</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14 355</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3 757</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Borc alınmı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eastAsia="ru-RU"/>
              </w:rPr>
              <w:t xml:space="preserve"> vəsaitlər</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101 704</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44 779</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tcPr>
          <w:p w:rsidR="00DF1AEC" w:rsidRPr="006B7E8B" w:rsidRDefault="007F7AC2"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ş</w:t>
            </w:r>
            <w:r w:rsidR="00DF1AEC" w:rsidRPr="006B7E8B">
              <w:rPr>
                <w:rFonts w:ascii="Times New Roman" w:hAnsi="Times New Roman" w:cs="Times New Roman"/>
                <w:noProof/>
                <w:sz w:val="24"/>
                <w:szCs w:val="20"/>
                <w:lang w:eastAsia="ru-RU"/>
              </w:rPr>
              <w:t>əxsi Kapital</w:t>
            </w:r>
          </w:p>
        </w:tc>
        <w:tc>
          <w:tcPr>
            <w:tcW w:w="1701"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16 378</w:t>
            </w:r>
          </w:p>
        </w:tc>
        <w:tc>
          <w:tcPr>
            <w:tcW w:w="1395"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6 837</w:t>
            </w:r>
          </w:p>
        </w:tc>
      </w:tr>
      <w:tr w:rsidR="00DF1AEC" w:rsidRPr="006B7E8B" w:rsidTr="00DF1AEC">
        <w:trPr>
          <w:gridAfter w:val="1"/>
          <w:wAfter w:w="306" w:type="dxa"/>
          <w:trHeight w:hRule="exact" w:val="428"/>
        </w:trPr>
        <w:tc>
          <w:tcPr>
            <w:tcW w:w="5964" w:type="dxa"/>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ə məliyyat gəlirləri</w:t>
            </w:r>
          </w:p>
        </w:tc>
        <w:tc>
          <w:tcPr>
            <w:tcW w:w="1701" w:type="dxa"/>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17 588</w:t>
            </w:r>
          </w:p>
        </w:tc>
        <w:tc>
          <w:tcPr>
            <w:tcW w:w="1395" w:type="dxa"/>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6 232</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ə məliyyat xərcləri</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11 895</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6 471</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Vergidən əvvəlki mənfəət</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5 693</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(239)</w:t>
            </w:r>
          </w:p>
        </w:tc>
      </w:tr>
      <w:tr w:rsidR="00DF1AEC" w:rsidRPr="006B7E8B" w:rsidTr="00DF1AEC">
        <w:trPr>
          <w:gridAfter w:val="1"/>
          <w:wAfter w:w="306" w:type="dxa"/>
          <w:trHeight w:hRule="exact" w:val="405"/>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Vergidən sonrakı mənfəət</w:t>
            </w:r>
          </w:p>
        </w:tc>
        <w:tc>
          <w:tcPr>
            <w:tcW w:w="1701" w:type="dxa"/>
            <w:tcBorders>
              <w:top w:val="single" w:sz="4" w:space="0" w:color="auto"/>
            </w:tcBorders>
            <w:shd w:val="clear" w:color="auto" w:fill="FFFFFF"/>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4 258</w:t>
            </w:r>
          </w:p>
        </w:tc>
        <w:tc>
          <w:tcPr>
            <w:tcW w:w="1395"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(279)</w:t>
            </w:r>
          </w:p>
        </w:tc>
      </w:tr>
      <w:tr w:rsidR="00DF1AEC" w:rsidRPr="006B7E8B" w:rsidTr="00DF1AEC">
        <w:trPr>
          <w:trHeight w:hRule="exact" w:val="263"/>
        </w:trPr>
        <w:tc>
          <w:tcPr>
            <w:tcW w:w="9366" w:type="dxa"/>
            <w:gridSpan w:val="4"/>
            <w:shd w:val="clear" w:color="auto" w:fill="000000"/>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ə msallar</w:t>
            </w:r>
          </w:p>
        </w:tc>
      </w:tr>
      <w:tr w:rsidR="00DF1AEC" w:rsidRPr="006B7E8B" w:rsidTr="00DF1AEC">
        <w:trPr>
          <w:gridAfter w:val="1"/>
          <w:wAfter w:w="306" w:type="dxa"/>
          <w:trHeight w:hRule="exact" w:val="623"/>
        </w:trPr>
        <w:tc>
          <w:tcPr>
            <w:tcW w:w="5964" w:type="dxa"/>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Kapital</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n</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orta</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g</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lirliliyi</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valyuta</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m</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z</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nn</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sin</w:t>
            </w:r>
            <w:r w:rsidRPr="006B7E8B">
              <w:rPr>
                <w:rFonts w:ascii="Times New Roman" w:hAnsi="Times New Roman" w:cs="Times New Roman"/>
                <w:noProof/>
                <w:sz w:val="24"/>
                <w:szCs w:val="20"/>
                <w:lang w:eastAsia="ru-RU"/>
              </w:rPr>
              <w:t xml:space="preserve">ə </w:t>
            </w:r>
            <w:r w:rsidRPr="006B7E8B">
              <w:rPr>
                <w:rFonts w:ascii="Times New Roman" w:hAnsi="Times New Roman" w:cs="Times New Roman"/>
                <w:noProof/>
                <w:sz w:val="24"/>
                <w:szCs w:val="20"/>
                <w:lang w:val="en-US" w:eastAsia="ru-RU"/>
              </w:rPr>
              <w:t>uy</w:t>
            </w:r>
            <w:r w:rsidRPr="006B7E8B">
              <w:rPr>
                <w:rFonts w:ascii="Times New Roman" w:hAnsi="Times New Roman" w:cs="Times New Roman"/>
                <w:noProof/>
                <w:sz w:val="24"/>
                <w:szCs w:val="20"/>
                <w:lang w:eastAsia="ru-RU"/>
              </w:rPr>
              <w:t>ğ</w:t>
            </w:r>
            <w:r w:rsidRPr="006B7E8B">
              <w:rPr>
                <w:rFonts w:ascii="Times New Roman" w:hAnsi="Times New Roman" w:cs="Times New Roman"/>
                <w:noProof/>
                <w:sz w:val="24"/>
                <w:szCs w:val="20"/>
                <w:lang w:val="en-US" w:eastAsia="ru-RU"/>
              </w:rPr>
              <w:t>unla</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lm</w:t>
            </w:r>
            <w:r w:rsidRPr="006B7E8B">
              <w:rPr>
                <w:rFonts w:ascii="Times New Roman" w:hAnsi="Times New Roman" w:cs="Times New Roman"/>
                <w:noProof/>
                <w:sz w:val="24"/>
                <w:szCs w:val="20"/>
                <w:lang w:eastAsia="ru-RU"/>
              </w:rPr>
              <w:t>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w:t>
            </w:r>
          </w:p>
        </w:tc>
        <w:tc>
          <w:tcPr>
            <w:tcW w:w="1701" w:type="dxa"/>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37,7%</w:t>
            </w:r>
          </w:p>
        </w:tc>
        <w:tc>
          <w:tcPr>
            <w:tcW w:w="1395" w:type="dxa"/>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(4,0%)</w:t>
            </w:r>
          </w:p>
        </w:tc>
      </w:tr>
      <w:tr w:rsidR="00DF1AEC" w:rsidRPr="006B7E8B" w:rsidTr="00DF1AEC">
        <w:trPr>
          <w:gridAfter w:val="1"/>
          <w:wAfter w:w="306" w:type="dxa"/>
          <w:trHeight w:hRule="exact" w:val="570"/>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Aktivl</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rin</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orta</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g</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lirliliyi</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valyuta</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m</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z</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nn</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sin</w:t>
            </w:r>
            <w:r w:rsidRPr="006B7E8B">
              <w:rPr>
                <w:rFonts w:ascii="Times New Roman" w:hAnsi="Times New Roman" w:cs="Times New Roman"/>
                <w:noProof/>
                <w:sz w:val="24"/>
                <w:szCs w:val="20"/>
                <w:lang w:eastAsia="ru-RU"/>
              </w:rPr>
              <w:t xml:space="preserve">ə </w:t>
            </w:r>
            <w:r w:rsidRPr="006B7E8B">
              <w:rPr>
                <w:rFonts w:ascii="Times New Roman" w:hAnsi="Times New Roman" w:cs="Times New Roman"/>
                <w:noProof/>
                <w:sz w:val="24"/>
                <w:szCs w:val="20"/>
                <w:lang w:val="en-US" w:eastAsia="ru-RU"/>
              </w:rPr>
              <w:t>uy</w:t>
            </w:r>
            <w:r w:rsidRPr="006B7E8B">
              <w:rPr>
                <w:rFonts w:ascii="Times New Roman" w:hAnsi="Times New Roman" w:cs="Times New Roman"/>
                <w:noProof/>
                <w:sz w:val="24"/>
                <w:szCs w:val="20"/>
                <w:lang w:eastAsia="ru-RU"/>
              </w:rPr>
              <w:t>ğ</w:t>
            </w:r>
            <w:r w:rsidRPr="006B7E8B">
              <w:rPr>
                <w:rFonts w:ascii="Times New Roman" w:hAnsi="Times New Roman" w:cs="Times New Roman"/>
                <w:noProof/>
                <w:sz w:val="24"/>
                <w:szCs w:val="20"/>
                <w:lang w:val="en-US" w:eastAsia="ru-RU"/>
              </w:rPr>
              <w:t>unla</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lm</w:t>
            </w:r>
            <w:r w:rsidRPr="006B7E8B">
              <w:rPr>
                <w:rFonts w:ascii="Times New Roman" w:hAnsi="Times New Roman" w:cs="Times New Roman"/>
                <w:noProof/>
                <w:sz w:val="24"/>
                <w:szCs w:val="20"/>
                <w:lang w:eastAsia="ru-RU"/>
              </w:rPr>
              <w:t>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w:t>
            </w:r>
          </w:p>
        </w:tc>
        <w:tc>
          <w:tcPr>
            <w:tcW w:w="1701" w:type="dxa"/>
            <w:tcBorders>
              <w:top w:val="single" w:sz="4" w:space="0" w:color="auto"/>
            </w:tcBorders>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4,5%</w:t>
            </w:r>
          </w:p>
        </w:tc>
        <w:tc>
          <w:tcPr>
            <w:tcW w:w="1395" w:type="dxa"/>
            <w:tcBorders>
              <w:top w:val="single" w:sz="4" w:space="0" w:color="auto"/>
            </w:tcBorders>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(0,7%)</w:t>
            </w:r>
          </w:p>
        </w:tc>
      </w:tr>
      <w:tr w:rsidR="00DF1AEC" w:rsidRPr="006B7E8B" w:rsidTr="00DF1AEC">
        <w:trPr>
          <w:gridAfter w:val="1"/>
          <w:wAfter w:w="306" w:type="dxa"/>
          <w:trHeight w:hRule="exact" w:val="585"/>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val="en-US" w:eastAsia="ru-RU"/>
              </w:rPr>
              <w:t>X</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rc</w:t>
            </w:r>
            <w:r w:rsidRPr="006B7E8B">
              <w:rPr>
                <w:rFonts w:ascii="Times New Roman" w:hAnsi="Times New Roman" w:cs="Times New Roman"/>
                <w:noProof/>
                <w:sz w:val="24"/>
                <w:szCs w:val="20"/>
                <w:lang w:eastAsia="ru-RU"/>
              </w:rPr>
              <w:t xml:space="preserve"> / </w:t>
            </w:r>
            <w:r w:rsidRPr="006B7E8B">
              <w:rPr>
                <w:rFonts w:ascii="Times New Roman" w:hAnsi="Times New Roman" w:cs="Times New Roman"/>
                <w:noProof/>
                <w:sz w:val="24"/>
                <w:szCs w:val="20"/>
                <w:lang w:val="en-US" w:eastAsia="ru-RU"/>
              </w:rPr>
              <w:t>M</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nf</w:t>
            </w:r>
            <w:r w:rsidRPr="006B7E8B">
              <w:rPr>
                <w:rFonts w:ascii="Times New Roman" w:hAnsi="Times New Roman" w:cs="Times New Roman"/>
                <w:noProof/>
                <w:sz w:val="24"/>
                <w:szCs w:val="20"/>
                <w:lang w:eastAsia="ru-RU"/>
              </w:rPr>
              <w:t>əə</w:t>
            </w:r>
            <w:r w:rsidRPr="006B7E8B">
              <w:rPr>
                <w:rFonts w:ascii="Times New Roman" w:hAnsi="Times New Roman" w:cs="Times New Roman"/>
                <w:noProof/>
                <w:sz w:val="24"/>
                <w:szCs w:val="20"/>
                <w:lang w:val="en-US" w:eastAsia="ru-RU"/>
              </w:rPr>
              <w:t>t</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nisb</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ti</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valyuta</w:t>
            </w:r>
            <w:r w:rsidRPr="006B7E8B">
              <w:rPr>
                <w:rFonts w:ascii="Times New Roman" w:hAnsi="Times New Roman" w:cs="Times New Roman"/>
                <w:noProof/>
                <w:sz w:val="24"/>
                <w:szCs w:val="20"/>
                <w:lang w:eastAsia="ru-RU"/>
              </w:rPr>
              <w:t xml:space="preserve"> </w:t>
            </w:r>
            <w:r w:rsidRPr="006B7E8B">
              <w:rPr>
                <w:rFonts w:ascii="Times New Roman" w:hAnsi="Times New Roman" w:cs="Times New Roman"/>
                <w:noProof/>
                <w:sz w:val="24"/>
                <w:szCs w:val="20"/>
                <w:lang w:val="en-US" w:eastAsia="ru-RU"/>
              </w:rPr>
              <w:t>m</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z</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nn</w:t>
            </w:r>
            <w:r w:rsidRPr="006B7E8B">
              <w:rPr>
                <w:rFonts w:ascii="Times New Roman" w:hAnsi="Times New Roman" w:cs="Times New Roman"/>
                <w:noProof/>
                <w:sz w:val="24"/>
                <w:szCs w:val="20"/>
                <w:lang w:eastAsia="ru-RU"/>
              </w:rPr>
              <w:t>ə</w:t>
            </w:r>
            <w:r w:rsidRPr="006B7E8B">
              <w:rPr>
                <w:rFonts w:ascii="Times New Roman" w:hAnsi="Times New Roman" w:cs="Times New Roman"/>
                <w:noProof/>
                <w:sz w:val="24"/>
                <w:szCs w:val="20"/>
                <w:lang w:val="en-US" w:eastAsia="ru-RU"/>
              </w:rPr>
              <w:t>sin</w:t>
            </w:r>
            <w:r w:rsidRPr="006B7E8B">
              <w:rPr>
                <w:rFonts w:ascii="Times New Roman" w:hAnsi="Times New Roman" w:cs="Times New Roman"/>
                <w:noProof/>
                <w:sz w:val="24"/>
                <w:szCs w:val="20"/>
                <w:lang w:eastAsia="ru-RU"/>
              </w:rPr>
              <w:t xml:space="preserve">ə </w:t>
            </w:r>
            <w:r w:rsidRPr="006B7E8B">
              <w:rPr>
                <w:rFonts w:ascii="Times New Roman" w:hAnsi="Times New Roman" w:cs="Times New Roman"/>
                <w:noProof/>
                <w:sz w:val="24"/>
                <w:szCs w:val="20"/>
                <w:lang w:val="en-US" w:eastAsia="ru-RU"/>
              </w:rPr>
              <w:t>uy</w:t>
            </w:r>
            <w:r w:rsidRPr="006B7E8B">
              <w:rPr>
                <w:rFonts w:ascii="Times New Roman" w:hAnsi="Times New Roman" w:cs="Times New Roman"/>
                <w:noProof/>
                <w:sz w:val="24"/>
                <w:szCs w:val="20"/>
                <w:lang w:eastAsia="ru-RU"/>
              </w:rPr>
              <w:t>ğ</w:t>
            </w:r>
            <w:r w:rsidRPr="006B7E8B">
              <w:rPr>
                <w:rFonts w:ascii="Times New Roman" w:hAnsi="Times New Roman" w:cs="Times New Roman"/>
                <w:noProof/>
                <w:sz w:val="24"/>
                <w:szCs w:val="20"/>
                <w:lang w:val="en-US" w:eastAsia="ru-RU"/>
              </w:rPr>
              <w:t>unla</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lm</w:t>
            </w:r>
            <w:r w:rsidRPr="006B7E8B">
              <w:rPr>
                <w:rFonts w:ascii="Times New Roman" w:hAnsi="Times New Roman" w:cs="Times New Roman"/>
                <w:noProof/>
                <w:sz w:val="24"/>
                <w:szCs w:val="20"/>
                <w:lang w:eastAsia="ru-RU"/>
              </w:rPr>
              <w:t>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val="en-US" w:eastAsia="ru-RU"/>
              </w:rPr>
              <w:t>d</w:t>
            </w:r>
            <w:r w:rsidRPr="006B7E8B">
              <w:rPr>
                <w:rFonts w:ascii="Times New Roman" w:hAnsi="Times New Roman" w:cs="Times New Roman"/>
                <w:noProof/>
                <w:sz w:val="24"/>
                <w:szCs w:val="20"/>
                <w:lang w:eastAsia="ru-RU"/>
              </w:rPr>
              <w:t>ı</w:t>
            </w:r>
            <w:r w:rsidRPr="006B7E8B">
              <w:rPr>
                <w:rFonts w:ascii="Times New Roman" w:hAnsi="Times New Roman" w:cs="Times New Roman"/>
                <w:noProof/>
                <w:sz w:val="24"/>
                <w:szCs w:val="20"/>
                <w:lang w:val="en-US" w:eastAsia="ru-RU"/>
              </w:rPr>
              <w:t>r</w:t>
            </w:r>
            <w:r w:rsidRPr="006B7E8B">
              <w:rPr>
                <w:rFonts w:ascii="Times New Roman" w:hAnsi="Times New Roman" w:cs="Times New Roman"/>
                <w:noProof/>
                <w:sz w:val="24"/>
                <w:szCs w:val="20"/>
                <w:lang w:eastAsia="ru-RU"/>
              </w:rPr>
              <w:t>)</w:t>
            </w:r>
          </w:p>
        </w:tc>
        <w:tc>
          <w:tcPr>
            <w:tcW w:w="1701" w:type="dxa"/>
            <w:tcBorders>
              <w:top w:val="single" w:sz="4" w:space="0" w:color="auto"/>
            </w:tcBorders>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67,6%</w:t>
            </w:r>
          </w:p>
        </w:tc>
        <w:tc>
          <w:tcPr>
            <w:tcW w:w="1395" w:type="dxa"/>
            <w:tcBorders>
              <w:top w:val="single" w:sz="4" w:space="0" w:color="auto"/>
            </w:tcBorders>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103,8%</w:t>
            </w:r>
          </w:p>
        </w:tc>
      </w:tr>
      <w:tr w:rsidR="00DF1AEC" w:rsidRPr="006B7E8B" w:rsidTr="00DF1AEC">
        <w:trPr>
          <w:gridAfter w:val="1"/>
          <w:wAfter w:w="306" w:type="dxa"/>
          <w:trHeight w:hRule="exact" w:val="600"/>
        </w:trPr>
        <w:tc>
          <w:tcPr>
            <w:tcW w:w="5964" w:type="dxa"/>
            <w:tcBorders>
              <w:top w:val="single" w:sz="4" w:space="0" w:color="auto"/>
            </w:tcBorders>
            <w:shd w:val="clear" w:color="auto" w:fill="FFFFFF"/>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Kapital adekvatlığı (valyuta məzənnəsinə uyğunla</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eastAsia="ru-RU"/>
              </w:rPr>
              <w:t>dırılmı</w:t>
            </w:r>
            <w:r w:rsidR="007F7AC2" w:rsidRPr="006B7E8B">
              <w:rPr>
                <w:rFonts w:ascii="Times New Roman" w:hAnsi="Times New Roman" w:cs="Times New Roman"/>
                <w:noProof/>
                <w:sz w:val="24"/>
                <w:szCs w:val="20"/>
                <w:lang w:eastAsia="ru-RU"/>
              </w:rPr>
              <w:t>ş</w:t>
            </w:r>
            <w:r w:rsidRPr="006B7E8B">
              <w:rPr>
                <w:rFonts w:ascii="Times New Roman" w:hAnsi="Times New Roman" w:cs="Times New Roman"/>
                <w:noProof/>
                <w:sz w:val="24"/>
                <w:szCs w:val="20"/>
                <w:lang w:eastAsia="ru-RU"/>
              </w:rPr>
              <w:t>dır)</w:t>
            </w:r>
          </w:p>
        </w:tc>
        <w:tc>
          <w:tcPr>
            <w:tcW w:w="1701" w:type="dxa"/>
            <w:tcBorders>
              <w:top w:val="single" w:sz="4" w:space="0" w:color="auto"/>
            </w:tcBorders>
            <w:shd w:val="clear" w:color="auto" w:fill="FFFFFF"/>
            <w:vAlign w:val="center"/>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20,4%</w:t>
            </w:r>
          </w:p>
        </w:tc>
        <w:tc>
          <w:tcPr>
            <w:tcW w:w="1395" w:type="dxa"/>
            <w:tcBorders>
              <w:top w:val="single" w:sz="4" w:space="0" w:color="auto"/>
            </w:tcBorders>
            <w:shd w:val="clear" w:color="auto" w:fill="FFFFFF"/>
            <w:vAlign w:val="center"/>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13,3%</w:t>
            </w:r>
          </w:p>
        </w:tc>
      </w:tr>
      <w:tr w:rsidR="00DF1AEC" w:rsidRPr="006B7E8B" w:rsidTr="00DF1AEC">
        <w:trPr>
          <w:trHeight w:hRule="exact" w:val="255"/>
        </w:trPr>
        <w:tc>
          <w:tcPr>
            <w:tcW w:w="9366" w:type="dxa"/>
            <w:gridSpan w:val="4"/>
            <w:shd w:val="clear" w:color="auto" w:fill="000000"/>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Digər hallar</w:t>
            </w:r>
          </w:p>
        </w:tc>
      </w:tr>
      <w:tr w:rsidR="00DF1AEC" w:rsidRPr="006B7E8B" w:rsidTr="00DF1AEC">
        <w:trPr>
          <w:gridAfter w:val="1"/>
          <w:wAfter w:w="306" w:type="dxa"/>
          <w:trHeight w:hRule="exact" w:val="375"/>
        </w:trPr>
        <w:tc>
          <w:tcPr>
            <w:tcW w:w="5964" w:type="dxa"/>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Ödənilməmi</w:t>
            </w:r>
            <w:r w:rsidR="007F7AC2" w:rsidRPr="006B7E8B">
              <w:rPr>
                <w:rFonts w:ascii="Times New Roman" w:hAnsi="Times New Roman" w:cs="Times New Roman"/>
                <w:noProof/>
                <w:sz w:val="24"/>
                <w:szCs w:val="20"/>
                <w:lang w:val="en-US" w:eastAsia="ru-RU"/>
              </w:rPr>
              <w:t>ş</w:t>
            </w:r>
            <w:r w:rsidRPr="006B7E8B">
              <w:rPr>
                <w:rFonts w:ascii="Times New Roman" w:hAnsi="Times New Roman" w:cs="Times New Roman"/>
                <w:noProof/>
                <w:sz w:val="24"/>
                <w:szCs w:val="20"/>
                <w:lang w:val="en-US" w:eastAsia="ru-RU"/>
              </w:rPr>
              <w:t xml:space="preserve"> kreditlərin sayı</w:t>
            </w:r>
          </w:p>
        </w:tc>
        <w:tc>
          <w:tcPr>
            <w:tcW w:w="1701" w:type="dxa"/>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47 683</w:t>
            </w:r>
          </w:p>
        </w:tc>
        <w:tc>
          <w:tcPr>
            <w:tcW w:w="1395" w:type="dxa"/>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16719</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Depozit hesablarının sayı</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11 864</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5 538</w:t>
            </w:r>
          </w:p>
        </w:tc>
      </w:tr>
      <w:tr w:rsidR="00DF1AEC" w:rsidRPr="006B7E8B" w:rsidTr="00DF1AEC">
        <w:trPr>
          <w:gridAfter w:val="1"/>
          <w:wAfter w:w="306" w:type="dxa"/>
          <w:trHeight w:hRule="exact" w:val="330"/>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Filialların sayı</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14</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10</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Heyət üzvlərinin sayı</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612</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458</w:t>
            </w:r>
          </w:p>
        </w:tc>
      </w:tr>
      <w:tr w:rsidR="00DF1AEC" w:rsidRPr="006B7E8B" w:rsidTr="00DF1AEC">
        <w:trPr>
          <w:gridAfter w:val="1"/>
          <w:wAfter w:w="306" w:type="dxa"/>
          <w:trHeight w:hRule="exact" w:val="345"/>
        </w:trPr>
        <w:tc>
          <w:tcPr>
            <w:tcW w:w="5964"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val="en-US" w:eastAsia="ru-RU"/>
              </w:rPr>
            </w:pPr>
            <w:r w:rsidRPr="006B7E8B">
              <w:rPr>
                <w:rFonts w:ascii="Times New Roman" w:hAnsi="Times New Roman" w:cs="Times New Roman"/>
                <w:noProof/>
                <w:sz w:val="24"/>
                <w:szCs w:val="20"/>
                <w:lang w:val="en-US" w:eastAsia="ru-RU"/>
              </w:rPr>
              <w:t>Riskdə olan portfel (30 gün)</w:t>
            </w:r>
          </w:p>
        </w:tc>
        <w:tc>
          <w:tcPr>
            <w:tcW w:w="1701" w:type="dxa"/>
            <w:tcBorders>
              <w:top w:val="single" w:sz="4" w:space="0" w:color="auto"/>
            </w:tcBorders>
            <w:shd w:val="clear" w:color="auto" w:fill="FFFFFF"/>
            <w:vAlign w:val="bottom"/>
          </w:tcPr>
          <w:p w:rsidR="00DF1AEC" w:rsidRPr="006B7E8B" w:rsidRDefault="00DF1AEC" w:rsidP="00DD0C3F">
            <w:pPr>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0,05%</w:t>
            </w:r>
          </w:p>
        </w:tc>
        <w:tc>
          <w:tcPr>
            <w:tcW w:w="1395" w:type="dxa"/>
            <w:tcBorders>
              <w:top w:val="single" w:sz="4" w:space="0" w:color="auto"/>
            </w:tcBorders>
            <w:shd w:val="clear" w:color="auto" w:fill="FFFFFF"/>
            <w:vAlign w:val="bottom"/>
          </w:tcPr>
          <w:p w:rsidR="00DF1AEC" w:rsidRPr="006B7E8B" w:rsidRDefault="00DF1AEC" w:rsidP="00DD0C3F">
            <w:pPr>
              <w:ind w:firstLine="708"/>
              <w:jc w:val="both"/>
              <w:rPr>
                <w:rFonts w:ascii="Times New Roman" w:hAnsi="Times New Roman" w:cs="Times New Roman"/>
                <w:noProof/>
                <w:sz w:val="24"/>
                <w:szCs w:val="20"/>
                <w:lang w:eastAsia="ru-RU"/>
              </w:rPr>
            </w:pPr>
            <w:r w:rsidRPr="006B7E8B">
              <w:rPr>
                <w:rFonts w:ascii="Times New Roman" w:hAnsi="Times New Roman" w:cs="Times New Roman"/>
                <w:noProof/>
                <w:sz w:val="24"/>
                <w:szCs w:val="20"/>
                <w:lang w:eastAsia="ru-RU"/>
              </w:rPr>
              <w:t>0,46%</w:t>
            </w:r>
          </w:p>
        </w:tc>
      </w:tr>
    </w:tbl>
    <w:p w:rsidR="00DD0C3F" w:rsidRPr="006B7E8B" w:rsidRDefault="00DD0C3F" w:rsidP="00473D1F">
      <w:pPr>
        <w:spacing w:line="360" w:lineRule="auto"/>
        <w:ind w:firstLine="708"/>
        <w:jc w:val="both"/>
        <w:rPr>
          <w:rFonts w:ascii="Times New Roman" w:hAnsi="Times New Roman" w:cs="Times New Roman"/>
          <w:noProof/>
          <w:sz w:val="28"/>
          <w:szCs w:val="28"/>
          <w:lang w:val="az-Latn-AZ" w:eastAsia="ru-RU"/>
        </w:rPr>
      </w:pPr>
    </w:p>
    <w:p w:rsidR="006707B9" w:rsidRPr="006B7E8B" w:rsidRDefault="006707B9" w:rsidP="006B7E8B">
      <w:pPr>
        <w:spacing w:line="360" w:lineRule="auto"/>
        <w:ind w:firstLine="708"/>
        <w:jc w:val="center"/>
        <w:rPr>
          <w:rFonts w:ascii="Times New Roman" w:hAnsi="Times New Roman" w:cs="Times New Roman"/>
          <w:noProof/>
          <w:sz w:val="28"/>
          <w:szCs w:val="28"/>
          <w:lang w:val="az-Latn-AZ" w:eastAsia="ru-RU"/>
        </w:rPr>
      </w:pPr>
      <w:r w:rsidRPr="006B7E8B">
        <w:rPr>
          <w:rFonts w:ascii="Times New Roman" w:hAnsi="Times New Roman" w:cs="Times New Roman"/>
          <w:b/>
          <w:noProof/>
          <w:sz w:val="28"/>
          <w:szCs w:val="28"/>
          <w:lang w:val="az-Latn-AZ" w:eastAsia="ru-RU"/>
        </w:rPr>
        <w:t>Cədvəl 2.</w:t>
      </w:r>
      <w:r w:rsidR="00B7487E" w:rsidRPr="006B7E8B">
        <w:rPr>
          <w:rFonts w:ascii="Times New Roman" w:hAnsi="Times New Roman" w:cs="Times New Roman"/>
          <w:b/>
          <w:noProof/>
          <w:sz w:val="28"/>
          <w:szCs w:val="28"/>
          <w:lang w:val="az-Latn-AZ" w:eastAsia="ru-RU"/>
        </w:rPr>
        <w:t>2</w:t>
      </w:r>
      <w:r w:rsidRPr="006B7E8B">
        <w:rPr>
          <w:rFonts w:ascii="Times New Roman" w:hAnsi="Times New Roman" w:cs="Times New Roman"/>
          <w:b/>
          <w:noProof/>
          <w:sz w:val="28"/>
          <w:szCs w:val="28"/>
          <w:lang w:val="az-Latn-AZ" w:eastAsia="ru-RU"/>
        </w:rPr>
        <w:t>.</w:t>
      </w:r>
      <w:r w:rsidR="006B7E8B">
        <w:rPr>
          <w:rFonts w:ascii="Times New Roman" w:hAnsi="Times New Roman" w:cs="Times New Roman"/>
          <w:b/>
          <w:noProof/>
          <w:sz w:val="28"/>
          <w:szCs w:val="28"/>
          <w:lang w:val="az-Latn-AZ" w:eastAsia="ru-RU"/>
        </w:rPr>
        <w:t xml:space="preserve"> </w:t>
      </w:r>
      <w:r w:rsidRPr="006B7E8B">
        <w:rPr>
          <w:rFonts w:ascii="Times New Roman" w:hAnsi="Times New Roman" w:cs="Times New Roman"/>
          <w:noProof/>
          <w:sz w:val="28"/>
          <w:szCs w:val="28"/>
          <w:lang w:val="az-Latn-AZ" w:eastAsia="ru-RU"/>
        </w:rPr>
        <w:t>Access Bank maliyyə göstəriciləri (31.12.2018)</w:t>
      </w:r>
      <w:r w:rsidR="008858CC" w:rsidRPr="006B7E8B">
        <w:rPr>
          <w:rFonts w:ascii="Times New Roman" w:hAnsi="Times New Roman" w:cs="Times New Roman"/>
          <w:noProof/>
          <w:sz w:val="28"/>
          <w:szCs w:val="28"/>
          <w:lang w:val="az-Latn-AZ" w:eastAsia="ru-RU"/>
        </w:rPr>
        <w:t xml:space="preserve"> </w:t>
      </w:r>
      <w:r w:rsidRPr="006B7E8B">
        <w:rPr>
          <w:rFonts w:ascii="Times New Roman" w:hAnsi="Times New Roman" w:cs="Times New Roman"/>
          <w:noProof/>
          <w:sz w:val="28"/>
          <w:szCs w:val="28"/>
          <w:lang w:val="az-Latn-AZ" w:eastAsia="ru-RU"/>
        </w:rPr>
        <w:t>(Min AZN)</w:t>
      </w:r>
    </w:p>
    <w:tbl>
      <w:tblPr>
        <w:tblW w:w="95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5"/>
        <w:gridCol w:w="1020"/>
        <w:gridCol w:w="1245"/>
        <w:gridCol w:w="1770"/>
      </w:tblGrid>
      <w:tr w:rsidR="006B7E8B" w:rsidRPr="00E167F2" w:rsidTr="006707B9">
        <w:trPr>
          <w:trHeight w:val="562"/>
        </w:trPr>
        <w:tc>
          <w:tcPr>
            <w:tcW w:w="7770" w:type="dxa"/>
            <w:gridSpan w:val="3"/>
          </w:tcPr>
          <w:p w:rsidR="006707B9" w:rsidRPr="00E167F2" w:rsidRDefault="006707B9" w:rsidP="00473D1F">
            <w:pPr>
              <w:spacing w:after="0" w:line="240" w:lineRule="auto"/>
              <w:ind w:left="-24"/>
              <w:jc w:val="both"/>
              <w:rPr>
                <w:rFonts w:ascii="Times New Roman" w:hAnsi="Times New Roman" w:cs="Times New Roman"/>
                <w:b/>
                <w:noProof/>
                <w:sz w:val="24"/>
                <w:szCs w:val="28"/>
                <w:lang w:val="az-Latn-AZ" w:eastAsia="ru-RU"/>
              </w:rPr>
            </w:pPr>
            <w:r w:rsidRPr="00E167F2">
              <w:rPr>
                <w:rFonts w:ascii="Times New Roman" w:hAnsi="Times New Roman" w:cs="Times New Roman"/>
                <w:b/>
                <w:noProof/>
                <w:sz w:val="24"/>
                <w:szCs w:val="28"/>
                <w:lang w:val="az-Latn-AZ" w:eastAsia="ru-RU"/>
              </w:rPr>
              <w:t>A. KAPİTAL VƏSAİTLƏRİ</w:t>
            </w:r>
          </w:p>
        </w:tc>
        <w:tc>
          <w:tcPr>
            <w:tcW w:w="1770" w:type="dxa"/>
          </w:tcPr>
          <w:p w:rsidR="006707B9" w:rsidRPr="00E167F2" w:rsidRDefault="006707B9" w:rsidP="00473D1F">
            <w:pPr>
              <w:spacing w:after="0" w:line="240" w:lineRule="auto"/>
              <w:jc w:val="both"/>
              <w:rPr>
                <w:rFonts w:ascii="Times New Roman" w:hAnsi="Times New Roman" w:cs="Times New Roman"/>
                <w:noProof/>
                <w:sz w:val="24"/>
                <w:szCs w:val="28"/>
                <w:lang w:val="az-Latn-AZ" w:eastAsia="ru-RU"/>
              </w:rPr>
            </w:pPr>
          </w:p>
        </w:tc>
      </w:tr>
      <w:tr w:rsidR="006B7E8B" w:rsidRPr="00E167F2" w:rsidTr="006707B9">
        <w:trPr>
          <w:trHeight w:val="375"/>
        </w:trPr>
        <w:tc>
          <w:tcPr>
            <w:tcW w:w="7770" w:type="dxa"/>
            <w:gridSpan w:val="3"/>
          </w:tcPr>
          <w:p w:rsidR="006707B9" w:rsidRPr="00E167F2" w:rsidRDefault="006707B9" w:rsidP="00473D1F">
            <w:pPr>
              <w:spacing w:after="0" w:line="240" w:lineRule="auto"/>
              <w:ind w:left="-24"/>
              <w:jc w:val="both"/>
              <w:rPr>
                <w:rFonts w:ascii="Times New Roman" w:hAnsi="Times New Roman" w:cs="Times New Roman"/>
                <w:b/>
                <w:noProof/>
                <w:sz w:val="24"/>
                <w:szCs w:val="28"/>
                <w:lang w:val="az-Latn-AZ" w:eastAsia="ru-RU"/>
              </w:rPr>
            </w:pPr>
            <w:r w:rsidRPr="00E167F2">
              <w:rPr>
                <w:rFonts w:ascii="Times New Roman" w:hAnsi="Times New Roman" w:cs="Times New Roman"/>
                <w:b/>
                <w:noProof/>
                <w:sz w:val="24"/>
                <w:szCs w:val="28"/>
                <w:lang w:val="az-Latn-AZ" w:eastAsia="ru-RU"/>
              </w:rPr>
              <w:t>1</w:t>
            </w:r>
          </w:p>
        </w:tc>
        <w:tc>
          <w:tcPr>
            <w:tcW w:w="1770" w:type="dxa"/>
          </w:tcPr>
          <w:p w:rsidR="006707B9" w:rsidRPr="00E167F2" w:rsidRDefault="006707B9" w:rsidP="00473D1F">
            <w:pPr>
              <w:spacing w:after="0" w:line="240" w:lineRule="auto"/>
              <w:jc w:val="both"/>
              <w:rPr>
                <w:rFonts w:ascii="Times New Roman" w:hAnsi="Times New Roman" w:cs="Times New Roman"/>
                <w:b/>
                <w:noProof/>
                <w:sz w:val="24"/>
                <w:szCs w:val="28"/>
                <w:lang w:val="az-Latn-AZ" w:eastAsia="ru-RU"/>
              </w:rPr>
            </w:pPr>
            <w:r w:rsidRPr="00E167F2">
              <w:rPr>
                <w:rFonts w:ascii="Times New Roman" w:hAnsi="Times New Roman" w:cs="Times New Roman"/>
                <w:b/>
                <w:noProof/>
                <w:sz w:val="24"/>
                <w:szCs w:val="28"/>
                <w:lang w:val="az-Latn-AZ" w:eastAsia="ru-RU"/>
              </w:rPr>
              <w:t>2</w:t>
            </w:r>
          </w:p>
        </w:tc>
      </w:tr>
      <w:tr w:rsidR="006B7E8B" w:rsidRPr="00E167F2" w:rsidTr="006707B9">
        <w:trPr>
          <w:trHeight w:val="529"/>
        </w:trPr>
        <w:tc>
          <w:tcPr>
            <w:tcW w:w="6525" w:type="dxa"/>
            <w:gridSpan w:val="2"/>
          </w:tcPr>
          <w:p w:rsidR="006707B9" w:rsidRPr="00E167F2" w:rsidRDefault="006707B9" w:rsidP="00473D1F">
            <w:pPr>
              <w:spacing w:after="0" w:line="240" w:lineRule="auto"/>
              <w:ind w:left="-24"/>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 I dərəcəli kapital (Əsas kapital) (Məcmu kapitalın 50 faizdən az olmamalıdır)</w:t>
            </w:r>
          </w:p>
        </w:tc>
        <w:tc>
          <w:tcPr>
            <w:tcW w:w="1245" w:type="dxa"/>
          </w:tcPr>
          <w:p w:rsidR="006707B9" w:rsidRPr="00E167F2" w:rsidRDefault="006707B9" w:rsidP="00473D1F">
            <w:pPr>
              <w:pStyle w:val="Default"/>
              <w:jc w:val="both"/>
              <w:rPr>
                <w:color w:val="auto"/>
                <w:szCs w:val="28"/>
                <w:lang w:val="az-Latn-AZ"/>
              </w:rPr>
            </w:pPr>
          </w:p>
          <w:tbl>
            <w:tblPr>
              <w:tblW w:w="0" w:type="auto"/>
              <w:tblBorders>
                <w:top w:val="nil"/>
                <w:left w:val="nil"/>
                <w:bottom w:val="nil"/>
                <w:right w:val="nil"/>
              </w:tblBorders>
              <w:tblLook w:val="0000" w:firstRow="0" w:lastRow="0" w:firstColumn="0" w:lastColumn="0" w:noHBand="0" w:noVBand="0"/>
            </w:tblPr>
            <w:tblGrid>
              <w:gridCol w:w="570"/>
            </w:tblGrid>
            <w:tr w:rsidR="006B7E8B" w:rsidRPr="00E167F2" w:rsidTr="006707B9">
              <w:trPr>
                <w:trHeight w:val="88"/>
              </w:trPr>
              <w:tc>
                <w:tcPr>
                  <w:tcW w:w="0" w:type="auto"/>
                </w:tcPr>
                <w:p w:rsidR="006707B9" w:rsidRPr="00E167F2" w:rsidRDefault="006707B9" w:rsidP="00473D1F">
                  <w:pPr>
                    <w:pStyle w:val="Default"/>
                    <w:jc w:val="both"/>
                    <w:rPr>
                      <w:color w:val="auto"/>
                      <w:szCs w:val="28"/>
                      <w:lang w:val="az-Latn-AZ"/>
                    </w:rPr>
                  </w:pPr>
                  <w:r w:rsidRPr="00E167F2">
                    <w:rPr>
                      <w:color w:val="auto"/>
                      <w:szCs w:val="28"/>
                      <w:lang w:val="az-Latn-AZ"/>
                    </w:rPr>
                    <w:t xml:space="preserve"> </w:t>
                  </w:r>
                  <w:r w:rsidRPr="00E167F2">
                    <w:rPr>
                      <w:b/>
                      <w:bCs/>
                      <w:color w:val="auto"/>
                      <w:szCs w:val="28"/>
                      <w:lang w:val="az-Latn-AZ"/>
                    </w:rPr>
                    <w:t xml:space="preserve">A1 </w:t>
                  </w:r>
                </w:p>
              </w:tc>
            </w:tr>
          </w:tbl>
          <w:p w:rsidR="006707B9" w:rsidRPr="00E167F2" w:rsidRDefault="006707B9" w:rsidP="00473D1F">
            <w:pPr>
              <w:spacing w:after="0" w:line="240" w:lineRule="auto"/>
              <w:jc w:val="both"/>
              <w:rPr>
                <w:rFonts w:ascii="Times New Roman" w:hAnsi="Times New Roman" w:cs="Times New Roman"/>
                <w:sz w:val="24"/>
                <w:szCs w:val="28"/>
                <w:lang w:val="az-Latn-AZ"/>
              </w:rPr>
            </w:pPr>
          </w:p>
        </w:tc>
        <w:tc>
          <w:tcPr>
            <w:tcW w:w="1770" w:type="dxa"/>
          </w:tcPr>
          <w:tbl>
            <w:tblPr>
              <w:tblW w:w="0" w:type="auto"/>
              <w:tblBorders>
                <w:top w:val="nil"/>
                <w:left w:val="nil"/>
                <w:bottom w:val="nil"/>
                <w:right w:val="nil"/>
              </w:tblBorders>
              <w:tblLook w:val="0000" w:firstRow="0" w:lastRow="0" w:firstColumn="0" w:lastColumn="0" w:noHBand="0" w:noVBand="0"/>
            </w:tblPr>
            <w:tblGrid>
              <w:gridCol w:w="1176"/>
            </w:tblGrid>
            <w:tr w:rsidR="006B7E8B" w:rsidRPr="00E167F2" w:rsidTr="006707B9">
              <w:trPr>
                <w:trHeight w:val="90"/>
              </w:trPr>
              <w:tc>
                <w:tcPr>
                  <w:tcW w:w="0" w:type="auto"/>
                </w:tcPr>
                <w:p w:rsidR="006707B9" w:rsidRPr="00E167F2" w:rsidRDefault="006707B9" w:rsidP="00473D1F">
                  <w:pPr>
                    <w:pStyle w:val="Default"/>
                    <w:jc w:val="both"/>
                    <w:rPr>
                      <w:color w:val="auto"/>
                      <w:szCs w:val="28"/>
                      <w:lang w:val="az-Latn-AZ"/>
                    </w:rPr>
                  </w:pPr>
                  <w:r w:rsidRPr="00E167F2">
                    <w:rPr>
                      <w:color w:val="auto"/>
                      <w:szCs w:val="28"/>
                      <w:lang w:val="az-Latn-AZ"/>
                    </w:rPr>
                    <w:t xml:space="preserve"> 45112.65 </w:t>
                  </w:r>
                </w:p>
              </w:tc>
            </w:tr>
          </w:tbl>
          <w:p w:rsidR="006707B9" w:rsidRPr="00E167F2" w:rsidRDefault="006707B9" w:rsidP="00473D1F">
            <w:pPr>
              <w:spacing w:after="0" w:line="240" w:lineRule="auto"/>
              <w:jc w:val="both"/>
              <w:rPr>
                <w:rFonts w:ascii="Times New Roman" w:hAnsi="Times New Roman" w:cs="Times New Roman"/>
                <w:noProof/>
                <w:sz w:val="24"/>
                <w:szCs w:val="28"/>
                <w:lang w:val="az-Latn-AZ" w:eastAsia="ru-RU"/>
              </w:rPr>
            </w:pPr>
          </w:p>
        </w:tc>
      </w:tr>
      <w:tr w:rsidR="006707B9" w:rsidRPr="00E167F2" w:rsidTr="006707B9">
        <w:trPr>
          <w:trHeight w:val="382"/>
        </w:trPr>
        <w:tc>
          <w:tcPr>
            <w:tcW w:w="6525" w:type="dxa"/>
            <w:gridSpan w:val="2"/>
          </w:tcPr>
          <w:tbl>
            <w:tblPr>
              <w:tblW w:w="0" w:type="auto"/>
              <w:tblBorders>
                <w:top w:val="nil"/>
                <w:left w:val="nil"/>
                <w:bottom w:val="nil"/>
                <w:right w:val="nil"/>
              </w:tblBorders>
              <w:tblLook w:val="0000" w:firstRow="0" w:lastRow="0" w:firstColumn="0" w:lastColumn="0" w:noHBand="0" w:noVBand="0"/>
            </w:tblPr>
            <w:tblGrid>
              <w:gridCol w:w="3949"/>
            </w:tblGrid>
            <w:tr w:rsidR="00E167F2" w:rsidRPr="000F0FA4" w:rsidTr="006707B9">
              <w:trPr>
                <w:trHeight w:val="90"/>
              </w:trPr>
              <w:tc>
                <w:tcPr>
                  <w:tcW w:w="0" w:type="auto"/>
                </w:tcPr>
                <w:p w:rsidR="006707B9" w:rsidRPr="00E167F2" w:rsidRDefault="006707B9" w:rsidP="00473D1F">
                  <w:pPr>
                    <w:pStyle w:val="Default"/>
                    <w:jc w:val="both"/>
                    <w:rPr>
                      <w:color w:val="auto"/>
                      <w:szCs w:val="28"/>
                      <w:lang w:val="az-Latn-AZ"/>
                    </w:rPr>
                  </w:pPr>
                  <w:r w:rsidRPr="00E167F2">
                    <w:rPr>
                      <w:color w:val="auto"/>
                      <w:szCs w:val="28"/>
                      <w:lang w:val="az-Latn-AZ"/>
                    </w:rPr>
                    <w:t xml:space="preserve"> a) Adi səhmlər (tam ödənilmi</w:t>
                  </w:r>
                  <w:r w:rsidR="007F7AC2" w:rsidRPr="00E167F2">
                    <w:rPr>
                      <w:color w:val="auto"/>
                      <w:szCs w:val="28"/>
                      <w:lang w:val="az-Latn-AZ"/>
                    </w:rPr>
                    <w:t>ş</w:t>
                  </w:r>
                  <w:r w:rsidRPr="00E167F2">
                    <w:rPr>
                      <w:color w:val="auto"/>
                      <w:szCs w:val="28"/>
                      <w:lang w:val="az-Latn-AZ"/>
                    </w:rPr>
                    <w:t xml:space="preserve"> paylar) </w:t>
                  </w:r>
                </w:p>
              </w:tc>
            </w:tr>
          </w:tbl>
          <w:p w:rsidR="006707B9" w:rsidRPr="00E167F2" w:rsidRDefault="006707B9" w:rsidP="00473D1F">
            <w:pPr>
              <w:spacing w:after="0" w:line="240" w:lineRule="auto"/>
              <w:ind w:left="-24"/>
              <w:jc w:val="both"/>
              <w:rPr>
                <w:rFonts w:ascii="Times New Roman" w:hAnsi="Times New Roman" w:cs="Times New Roman"/>
                <w:sz w:val="24"/>
                <w:szCs w:val="28"/>
                <w:lang w:val="az-Latn-AZ"/>
              </w:rPr>
            </w:pPr>
          </w:p>
        </w:tc>
        <w:tc>
          <w:tcPr>
            <w:tcW w:w="1245"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A1a</w:t>
            </w:r>
          </w:p>
        </w:tc>
        <w:tc>
          <w:tcPr>
            <w:tcW w:w="1770" w:type="dxa"/>
          </w:tcPr>
          <w:tbl>
            <w:tblPr>
              <w:tblW w:w="0" w:type="auto"/>
              <w:tblBorders>
                <w:top w:val="nil"/>
                <w:left w:val="nil"/>
                <w:bottom w:val="nil"/>
                <w:right w:val="nil"/>
              </w:tblBorders>
              <w:tblLook w:val="0000" w:firstRow="0" w:lastRow="0" w:firstColumn="0" w:lastColumn="0" w:noHBand="0" w:noVBand="0"/>
            </w:tblPr>
            <w:tblGrid>
              <w:gridCol w:w="1296"/>
            </w:tblGrid>
            <w:tr w:rsidR="00E167F2" w:rsidRPr="00E167F2" w:rsidTr="006707B9">
              <w:trPr>
                <w:trHeight w:val="90"/>
              </w:trPr>
              <w:tc>
                <w:tcPr>
                  <w:tcW w:w="0" w:type="auto"/>
                </w:tcPr>
                <w:p w:rsidR="006707B9" w:rsidRPr="00E167F2" w:rsidRDefault="006707B9" w:rsidP="00473D1F">
                  <w:pPr>
                    <w:pStyle w:val="Default"/>
                    <w:jc w:val="both"/>
                    <w:rPr>
                      <w:color w:val="auto"/>
                      <w:szCs w:val="28"/>
                      <w:lang w:val="az-Latn-AZ"/>
                    </w:rPr>
                  </w:pPr>
                  <w:r w:rsidRPr="00E167F2">
                    <w:rPr>
                      <w:color w:val="auto"/>
                      <w:szCs w:val="28"/>
                      <w:lang w:val="az-Latn-AZ"/>
                    </w:rPr>
                    <w:t xml:space="preserve"> 140258.39 </w:t>
                  </w:r>
                </w:p>
              </w:tc>
            </w:tr>
          </w:tbl>
          <w:p w:rsidR="006707B9" w:rsidRPr="00E167F2" w:rsidRDefault="006707B9" w:rsidP="00473D1F">
            <w:pPr>
              <w:spacing w:after="0" w:line="240" w:lineRule="auto"/>
              <w:jc w:val="both"/>
              <w:rPr>
                <w:rFonts w:ascii="Times New Roman" w:hAnsi="Times New Roman" w:cs="Times New Roman"/>
                <w:noProof/>
                <w:sz w:val="24"/>
                <w:szCs w:val="28"/>
                <w:lang w:val="az-Latn-AZ" w:eastAsia="ru-RU"/>
              </w:rPr>
            </w:pPr>
          </w:p>
        </w:tc>
      </w:tr>
      <w:tr w:rsidR="006707B9" w:rsidRPr="00E167F2" w:rsidTr="006707B9">
        <w:trPr>
          <w:trHeight w:val="273"/>
        </w:trPr>
        <w:tc>
          <w:tcPr>
            <w:tcW w:w="6525" w:type="dxa"/>
            <w:gridSpan w:val="2"/>
          </w:tcPr>
          <w:tbl>
            <w:tblPr>
              <w:tblW w:w="0" w:type="auto"/>
              <w:tblBorders>
                <w:top w:val="nil"/>
                <w:left w:val="nil"/>
                <w:bottom w:val="nil"/>
                <w:right w:val="nil"/>
              </w:tblBorders>
              <w:tblLook w:val="0000" w:firstRow="0" w:lastRow="0" w:firstColumn="0" w:lastColumn="0" w:noHBand="0" w:noVBand="0"/>
            </w:tblPr>
            <w:tblGrid>
              <w:gridCol w:w="5035"/>
            </w:tblGrid>
            <w:tr w:rsidR="00E167F2" w:rsidRPr="00E167F2" w:rsidTr="006707B9">
              <w:trPr>
                <w:trHeight w:val="90"/>
              </w:trPr>
              <w:tc>
                <w:tcPr>
                  <w:tcW w:w="0" w:type="auto"/>
                </w:tcPr>
                <w:p w:rsidR="006707B9" w:rsidRPr="00E167F2" w:rsidRDefault="006707B9" w:rsidP="00473D1F">
                  <w:pPr>
                    <w:pStyle w:val="Default"/>
                    <w:jc w:val="both"/>
                    <w:rPr>
                      <w:color w:val="auto"/>
                      <w:szCs w:val="28"/>
                      <w:lang w:val="az-Latn-AZ"/>
                    </w:rPr>
                  </w:pPr>
                  <w:r w:rsidRPr="00E167F2">
                    <w:rPr>
                      <w:color w:val="auto"/>
                      <w:szCs w:val="28"/>
                      <w:lang w:val="az-Latn-AZ"/>
                    </w:rPr>
                    <w:t xml:space="preserve"> b) Qeyri-kumulyativ müddətsiz imtiyazlı səhmlər </w:t>
                  </w:r>
                </w:p>
              </w:tc>
            </w:tr>
          </w:tbl>
          <w:p w:rsidR="006707B9" w:rsidRPr="00E167F2" w:rsidRDefault="006707B9" w:rsidP="00473D1F">
            <w:pPr>
              <w:pStyle w:val="Default"/>
              <w:jc w:val="both"/>
              <w:rPr>
                <w:color w:val="auto"/>
                <w:szCs w:val="28"/>
                <w:lang w:val="az-Latn-AZ"/>
              </w:rPr>
            </w:pPr>
          </w:p>
        </w:tc>
        <w:tc>
          <w:tcPr>
            <w:tcW w:w="1245" w:type="dxa"/>
          </w:tcPr>
          <w:p w:rsidR="006707B9" w:rsidRPr="00E167F2" w:rsidRDefault="006707B9" w:rsidP="00473D1F">
            <w:pPr>
              <w:pStyle w:val="Default"/>
              <w:jc w:val="both"/>
              <w:rPr>
                <w:color w:val="auto"/>
                <w:szCs w:val="28"/>
                <w:lang w:val="az-Latn-AZ"/>
              </w:rPr>
            </w:pPr>
            <w:r w:rsidRPr="00E167F2">
              <w:rPr>
                <w:color w:val="auto"/>
                <w:szCs w:val="28"/>
                <w:lang w:val="az-Latn-AZ"/>
              </w:rPr>
              <w:t>A1b</w:t>
            </w:r>
          </w:p>
        </w:tc>
        <w:tc>
          <w:tcPr>
            <w:tcW w:w="1770" w:type="dxa"/>
          </w:tcPr>
          <w:p w:rsidR="006707B9" w:rsidRPr="00E167F2" w:rsidRDefault="006707B9" w:rsidP="00473D1F">
            <w:pPr>
              <w:pStyle w:val="Default"/>
              <w:jc w:val="both"/>
              <w:rPr>
                <w:color w:val="auto"/>
                <w:szCs w:val="28"/>
                <w:lang w:val="az-Latn-AZ"/>
              </w:rPr>
            </w:pPr>
            <w:r w:rsidRPr="00E167F2">
              <w:rPr>
                <w:color w:val="auto"/>
                <w:szCs w:val="28"/>
                <w:lang w:val="az-Latn-AZ"/>
              </w:rPr>
              <w:t>0.00</w:t>
            </w:r>
          </w:p>
        </w:tc>
      </w:tr>
      <w:tr w:rsidR="006707B9" w:rsidRPr="00E167F2" w:rsidTr="006707B9">
        <w:trPr>
          <w:trHeight w:val="278"/>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c) Səhmlərin emissiyasından əmələ gələn əlavə vəsait</w:t>
            </w:r>
          </w:p>
        </w:tc>
        <w:tc>
          <w:tcPr>
            <w:tcW w:w="1245" w:type="dxa"/>
          </w:tcPr>
          <w:p w:rsidR="006707B9" w:rsidRPr="00E167F2" w:rsidRDefault="006707B9" w:rsidP="00473D1F">
            <w:pPr>
              <w:pStyle w:val="Default"/>
              <w:jc w:val="both"/>
              <w:rPr>
                <w:color w:val="auto"/>
                <w:szCs w:val="28"/>
                <w:lang w:val="az-Latn-AZ"/>
              </w:rPr>
            </w:pPr>
            <w:r w:rsidRPr="00E167F2">
              <w:rPr>
                <w:color w:val="auto"/>
                <w:szCs w:val="28"/>
                <w:lang w:val="az-Latn-AZ"/>
              </w:rPr>
              <w:t>A1c</w:t>
            </w:r>
          </w:p>
        </w:tc>
        <w:tc>
          <w:tcPr>
            <w:tcW w:w="1770"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267"/>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d) Bölü</w:t>
            </w:r>
            <w:r w:rsidR="007F7AC2" w:rsidRPr="00E167F2">
              <w:rPr>
                <w:color w:val="auto"/>
                <w:szCs w:val="28"/>
                <w:lang w:val="az-Latn-AZ"/>
              </w:rPr>
              <w:t>ş</w:t>
            </w:r>
            <w:r w:rsidRPr="00E167F2">
              <w:rPr>
                <w:color w:val="auto"/>
                <w:szCs w:val="28"/>
                <w:lang w:val="az-Latn-AZ"/>
              </w:rPr>
              <w:t>dürülməmi</w:t>
            </w:r>
            <w:r w:rsidR="007F7AC2" w:rsidRPr="00E167F2">
              <w:rPr>
                <w:color w:val="auto"/>
                <w:szCs w:val="28"/>
                <w:lang w:val="az-Latn-AZ"/>
              </w:rPr>
              <w:t>ş</w:t>
            </w:r>
            <w:r w:rsidRPr="00E167F2">
              <w:rPr>
                <w:color w:val="auto"/>
                <w:szCs w:val="28"/>
                <w:lang w:val="az-Latn-AZ"/>
              </w:rPr>
              <w:t xml:space="preserve"> xalis mənfəət (zərər), cəmi</w:t>
            </w:r>
          </w:p>
        </w:tc>
        <w:tc>
          <w:tcPr>
            <w:tcW w:w="1245" w:type="dxa"/>
          </w:tcPr>
          <w:tbl>
            <w:tblPr>
              <w:tblW w:w="0" w:type="auto"/>
              <w:tblBorders>
                <w:top w:val="nil"/>
                <w:left w:val="nil"/>
                <w:bottom w:val="nil"/>
                <w:right w:val="nil"/>
              </w:tblBorders>
              <w:tblLook w:val="0000" w:firstRow="0" w:lastRow="0" w:firstColumn="0" w:lastColumn="0" w:noHBand="0" w:noVBand="0"/>
            </w:tblPr>
            <w:tblGrid>
              <w:gridCol w:w="690"/>
            </w:tblGrid>
            <w:tr w:rsidR="00E167F2" w:rsidRPr="00E167F2" w:rsidTr="006707B9">
              <w:trPr>
                <w:trHeight w:val="90"/>
              </w:trPr>
              <w:tc>
                <w:tcPr>
                  <w:tcW w:w="0" w:type="auto"/>
                </w:tcPr>
                <w:p w:rsidR="006707B9" w:rsidRPr="00E167F2"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E167F2">
                    <w:rPr>
                      <w:rFonts w:ascii="Times New Roman" w:eastAsiaTheme="minorEastAsia" w:hAnsi="Times New Roman" w:cs="Times New Roman"/>
                      <w:sz w:val="24"/>
                      <w:szCs w:val="28"/>
                      <w:lang w:val="az-Latn-AZ" w:eastAsia="ru-RU"/>
                    </w:rPr>
                    <w:t xml:space="preserve"> A1d </w:t>
                  </w:r>
                </w:p>
              </w:tc>
            </w:tr>
          </w:tbl>
          <w:p w:rsidR="006707B9" w:rsidRPr="00E167F2" w:rsidRDefault="006707B9" w:rsidP="00473D1F">
            <w:pPr>
              <w:pStyle w:val="Default"/>
              <w:jc w:val="both"/>
              <w:rPr>
                <w:color w:val="auto"/>
                <w:szCs w:val="28"/>
                <w:lang w:val="az-Latn-AZ"/>
              </w:rPr>
            </w:pPr>
          </w:p>
        </w:tc>
        <w:tc>
          <w:tcPr>
            <w:tcW w:w="1770" w:type="dxa"/>
          </w:tcPr>
          <w:tbl>
            <w:tblPr>
              <w:tblW w:w="0" w:type="auto"/>
              <w:tblBorders>
                <w:top w:val="nil"/>
                <w:left w:val="nil"/>
                <w:bottom w:val="nil"/>
                <w:right w:val="nil"/>
              </w:tblBorders>
              <w:tblLook w:val="0000" w:firstRow="0" w:lastRow="0" w:firstColumn="0" w:lastColumn="0" w:noHBand="0" w:noVBand="0"/>
            </w:tblPr>
            <w:tblGrid>
              <w:gridCol w:w="1256"/>
            </w:tblGrid>
            <w:tr w:rsidR="00E167F2" w:rsidRPr="00E167F2" w:rsidTr="006707B9">
              <w:trPr>
                <w:trHeight w:val="90"/>
              </w:trPr>
              <w:tc>
                <w:tcPr>
                  <w:tcW w:w="0" w:type="auto"/>
                </w:tcPr>
                <w:p w:rsidR="006707B9" w:rsidRPr="00E167F2"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E167F2">
                    <w:rPr>
                      <w:rFonts w:ascii="Times New Roman" w:eastAsiaTheme="minorEastAsia" w:hAnsi="Times New Roman" w:cs="Times New Roman"/>
                      <w:sz w:val="24"/>
                      <w:szCs w:val="28"/>
                      <w:lang w:val="az-Latn-AZ" w:eastAsia="ru-RU"/>
                    </w:rPr>
                    <w:t xml:space="preserve"> -95145.74 </w:t>
                  </w:r>
                </w:p>
              </w:tc>
            </w:tr>
          </w:tbl>
          <w:p w:rsidR="006707B9" w:rsidRPr="00E167F2" w:rsidRDefault="006707B9" w:rsidP="00473D1F">
            <w:pPr>
              <w:pStyle w:val="Default"/>
              <w:jc w:val="both"/>
              <w:rPr>
                <w:color w:val="auto"/>
                <w:szCs w:val="28"/>
                <w:lang w:val="az-Latn-AZ"/>
              </w:rPr>
            </w:pPr>
          </w:p>
        </w:tc>
      </w:tr>
      <w:tr w:rsidR="006707B9" w:rsidRPr="00E167F2" w:rsidTr="006707B9">
        <w:trPr>
          <w:trHeight w:val="272"/>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d1) əvvəlki illərin mənfəəti (zərəri) </w:t>
            </w:r>
          </w:p>
        </w:tc>
        <w:tc>
          <w:tcPr>
            <w:tcW w:w="1245" w:type="dxa"/>
          </w:tcPr>
          <w:p w:rsidR="006707B9" w:rsidRPr="00E167F2"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E167F2">
              <w:rPr>
                <w:rFonts w:ascii="Times New Roman" w:hAnsi="Times New Roman" w:cs="Times New Roman"/>
                <w:sz w:val="24"/>
                <w:szCs w:val="28"/>
                <w:lang w:val="az-Latn-AZ"/>
              </w:rPr>
              <w:t>A1d1</w:t>
            </w:r>
          </w:p>
        </w:tc>
        <w:tc>
          <w:tcPr>
            <w:tcW w:w="1770" w:type="dxa"/>
          </w:tcPr>
          <w:p w:rsidR="006707B9" w:rsidRPr="00E167F2" w:rsidRDefault="006707B9" w:rsidP="00473D1F">
            <w:pPr>
              <w:autoSpaceDE w:val="0"/>
              <w:autoSpaceDN w:val="0"/>
              <w:adjustRightInd w:val="0"/>
              <w:spacing w:after="0" w:line="240" w:lineRule="auto"/>
              <w:jc w:val="both"/>
              <w:rPr>
                <w:rFonts w:ascii="Times New Roman" w:eastAsiaTheme="minorEastAsia" w:hAnsi="Times New Roman" w:cs="Times New Roman"/>
                <w:sz w:val="24"/>
                <w:szCs w:val="28"/>
                <w:lang w:val="az-Latn-AZ" w:eastAsia="ru-RU"/>
              </w:rPr>
            </w:pPr>
            <w:r w:rsidRPr="00E167F2">
              <w:rPr>
                <w:rFonts w:ascii="Times New Roman" w:hAnsi="Times New Roman" w:cs="Times New Roman"/>
                <w:sz w:val="24"/>
                <w:szCs w:val="28"/>
                <w:lang w:val="az-Latn-AZ"/>
              </w:rPr>
              <w:t>-83566.61</w:t>
            </w:r>
          </w:p>
        </w:tc>
      </w:tr>
      <w:tr w:rsidR="006707B9" w:rsidRPr="00E167F2" w:rsidTr="006707B9">
        <w:trPr>
          <w:trHeight w:val="261"/>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d1) əvvəlki illərin mənfəəti (zərəri)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A1d1</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-83566.61</w:t>
            </w:r>
          </w:p>
        </w:tc>
      </w:tr>
      <w:tr w:rsidR="006707B9" w:rsidRPr="00E167F2" w:rsidTr="006707B9">
        <w:trPr>
          <w:trHeight w:val="266"/>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d3) kapital ehtiyatları (fondları)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A1d3</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269"/>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e) Digər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A1e</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p>
        </w:tc>
      </w:tr>
      <w:tr w:rsidR="006707B9" w:rsidRPr="00E167F2" w:rsidTr="006707B9">
        <w:trPr>
          <w:trHeight w:val="260"/>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2. I dərəcəli kapitaldan tutulmalar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A2</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30078.58</w:t>
            </w:r>
          </w:p>
        </w:tc>
      </w:tr>
      <w:tr w:rsidR="006707B9" w:rsidRPr="00E167F2" w:rsidTr="006707B9">
        <w:trPr>
          <w:trHeight w:val="249"/>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a) Qeyri-maddi aktivlər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A2a</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30078.58</w:t>
            </w:r>
          </w:p>
        </w:tc>
      </w:tr>
      <w:tr w:rsidR="006707B9" w:rsidRPr="00E167F2" w:rsidTr="006707B9">
        <w:trPr>
          <w:trHeight w:val="240"/>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b) Təxirə salınmı</w:t>
            </w:r>
            <w:r w:rsidR="007F7AC2" w:rsidRPr="00E167F2">
              <w:rPr>
                <w:color w:val="auto"/>
                <w:szCs w:val="28"/>
                <w:lang w:val="az-Latn-AZ"/>
              </w:rPr>
              <w:t>ş</w:t>
            </w:r>
            <w:r w:rsidRPr="00E167F2">
              <w:rPr>
                <w:color w:val="auto"/>
                <w:szCs w:val="28"/>
                <w:lang w:val="az-Latn-AZ"/>
              </w:rPr>
              <w:t xml:space="preserve"> vergi aktivləri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A2b</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p>
        </w:tc>
      </w:tr>
      <w:tr w:rsidR="006707B9" w:rsidRPr="00E167F2" w:rsidTr="006707B9">
        <w:trPr>
          <w:trHeight w:val="243"/>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3. Tutulmalardan sonra I dərəcəli kapitalı (I—2)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A3</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15034.07</w:t>
            </w:r>
          </w:p>
        </w:tc>
      </w:tr>
      <w:tr w:rsidR="006707B9" w:rsidRPr="00E167F2" w:rsidTr="006707B9">
        <w:trPr>
          <w:trHeight w:val="248"/>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4. II dərəcəli kapital (I dərəcəli kapitalın məbləğindən çox olmamalıdır)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15034.07</w:t>
            </w:r>
          </w:p>
        </w:tc>
      </w:tr>
      <w:tr w:rsidR="006707B9" w:rsidRPr="00E167F2" w:rsidTr="006707B9">
        <w:trPr>
          <w:trHeight w:val="256"/>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a) Cari ilin mənfəəti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A4a</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613"/>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b) Ümumi ehtiyatlar (aktivlər üzrə yaradılmı</w:t>
            </w:r>
            <w:r w:rsidR="007F7AC2" w:rsidRPr="00E167F2">
              <w:rPr>
                <w:color w:val="auto"/>
                <w:szCs w:val="28"/>
                <w:lang w:val="az-Latn-AZ"/>
              </w:rPr>
              <w:t>ş</w:t>
            </w:r>
            <w:r w:rsidRPr="00E167F2">
              <w:rPr>
                <w:color w:val="auto"/>
                <w:szCs w:val="28"/>
                <w:lang w:val="az-Latn-AZ"/>
              </w:rPr>
              <w:t xml:space="preserve"> adi ehtiyatlardan çox olmamaqla)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A4b</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9224.25</w:t>
            </w:r>
          </w:p>
        </w:tc>
      </w:tr>
      <w:tr w:rsidR="006707B9" w:rsidRPr="00E167F2" w:rsidTr="006707B9">
        <w:trPr>
          <w:trHeight w:val="183"/>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c) Kapitalın digər komponentləri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A4c</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7517.03</w:t>
            </w:r>
          </w:p>
        </w:tc>
      </w:tr>
      <w:tr w:rsidR="006707B9" w:rsidRPr="00E167F2" w:rsidTr="006707B9">
        <w:trPr>
          <w:trHeight w:val="330"/>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c1) kumulyativ müddətsiz imtiyazlı səhmlər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A4c1</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264"/>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c2) subordinasiya borc öhdəlikləri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A4c2</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7517.03</w:t>
            </w:r>
          </w:p>
        </w:tc>
      </w:tr>
      <w:tr w:rsidR="006707B9" w:rsidRPr="00E167F2" w:rsidTr="006707B9">
        <w:trPr>
          <w:trHeight w:val="267"/>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d) Digər vəsaitlər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A4d</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258"/>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5. Məcmu kapital (3+4)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A5</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30068.13</w:t>
            </w:r>
          </w:p>
        </w:tc>
      </w:tr>
      <w:tr w:rsidR="006707B9" w:rsidRPr="00E167F2" w:rsidTr="006707B9">
        <w:trPr>
          <w:trHeight w:val="261"/>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6. Məcmu kapitaldan tutulmalar :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A6</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40.00</w:t>
            </w:r>
          </w:p>
        </w:tc>
      </w:tr>
      <w:tr w:rsidR="006707B9" w:rsidRPr="00E167F2" w:rsidTr="006707B9">
        <w:trPr>
          <w:trHeight w:val="613"/>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a) Birlə</w:t>
            </w:r>
            <w:r w:rsidR="007F7AC2" w:rsidRPr="00E167F2">
              <w:rPr>
                <w:color w:val="auto"/>
                <w:szCs w:val="28"/>
                <w:lang w:val="az-Latn-AZ"/>
              </w:rPr>
              <w:t>ş</w:t>
            </w:r>
            <w:r w:rsidRPr="00E167F2">
              <w:rPr>
                <w:color w:val="auto"/>
                <w:szCs w:val="28"/>
                <w:lang w:val="az-Latn-AZ"/>
              </w:rPr>
              <w:t>məmi</w:t>
            </w:r>
            <w:r w:rsidR="007F7AC2" w:rsidRPr="00E167F2">
              <w:rPr>
                <w:color w:val="auto"/>
                <w:szCs w:val="28"/>
                <w:lang w:val="az-Latn-AZ"/>
              </w:rPr>
              <w:t>ş</w:t>
            </w:r>
            <w:r w:rsidRPr="00E167F2">
              <w:rPr>
                <w:color w:val="auto"/>
                <w:szCs w:val="28"/>
                <w:lang w:val="az-Latn-AZ"/>
              </w:rPr>
              <w:t xml:space="preserve"> (konsolidasiya olunmamı</w:t>
            </w:r>
            <w:r w:rsidR="007F7AC2" w:rsidRPr="00E167F2">
              <w:rPr>
                <w:color w:val="auto"/>
                <w:szCs w:val="28"/>
                <w:lang w:val="az-Latn-AZ"/>
              </w:rPr>
              <w:t>ş</w:t>
            </w:r>
            <w:r w:rsidRPr="00E167F2">
              <w:rPr>
                <w:color w:val="auto"/>
                <w:szCs w:val="28"/>
                <w:lang w:val="az-Latn-AZ"/>
              </w:rPr>
              <w:t>) törəmə banka və digər maliyyə idarələrinin kapitalına və bütün qeyri-bank müəssisələrinə kapital investisiyaları, o cümlədən qar</w:t>
            </w:r>
            <w:r w:rsidR="007F7AC2" w:rsidRPr="00E167F2">
              <w:rPr>
                <w:color w:val="auto"/>
                <w:szCs w:val="28"/>
                <w:lang w:val="az-Latn-AZ"/>
              </w:rPr>
              <w:t>ş</w:t>
            </w:r>
            <w:r w:rsidRPr="00E167F2">
              <w:rPr>
                <w:color w:val="auto"/>
                <w:szCs w:val="28"/>
                <w:lang w:val="az-Latn-AZ"/>
              </w:rPr>
              <w:t xml:space="preserve">ılıqlı investisiyalar (xalis)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A6a</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0.00</w:t>
            </w:r>
          </w:p>
        </w:tc>
      </w:tr>
      <w:tr w:rsidR="006707B9" w:rsidRPr="00E167F2" w:rsidTr="006707B9">
        <w:trPr>
          <w:trHeight w:val="281"/>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b) Bütün digər investisiyalar (xalis)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A6b</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40.00</w:t>
            </w:r>
          </w:p>
        </w:tc>
      </w:tr>
      <w:tr w:rsidR="006707B9" w:rsidRPr="00E167F2" w:rsidTr="006707B9">
        <w:trPr>
          <w:trHeight w:val="285"/>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 xml:space="preserve">7. Tutulmalardan sonra məcmu kapital (5-6)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A7</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30028.13</w:t>
            </w:r>
          </w:p>
        </w:tc>
      </w:tr>
      <w:tr w:rsidR="006707B9" w:rsidRPr="00E167F2" w:rsidTr="006707B9">
        <w:trPr>
          <w:trHeight w:val="392"/>
        </w:trPr>
        <w:tc>
          <w:tcPr>
            <w:tcW w:w="6525" w:type="dxa"/>
            <w:gridSpan w:val="2"/>
          </w:tcPr>
          <w:p w:rsidR="006707B9" w:rsidRPr="00E167F2" w:rsidRDefault="006707B9" w:rsidP="00473D1F">
            <w:pPr>
              <w:pStyle w:val="Default"/>
              <w:jc w:val="both"/>
              <w:rPr>
                <w:color w:val="auto"/>
                <w:szCs w:val="28"/>
                <w:lang w:val="az-Latn-AZ"/>
              </w:rPr>
            </w:pPr>
            <w:r w:rsidRPr="00E167F2">
              <w:rPr>
                <w:color w:val="auto"/>
                <w:szCs w:val="28"/>
                <w:lang w:val="az-Latn-AZ"/>
              </w:rPr>
              <w:t>8. Risk dərəcəsi üzrə ölçülmu</w:t>
            </w:r>
            <w:r w:rsidR="007F7AC2" w:rsidRPr="00E167F2">
              <w:rPr>
                <w:color w:val="auto"/>
                <w:szCs w:val="28"/>
                <w:lang w:val="az-Latn-AZ"/>
              </w:rPr>
              <w:t>ş</w:t>
            </w:r>
            <w:r w:rsidRPr="00E167F2">
              <w:rPr>
                <w:color w:val="auto"/>
                <w:szCs w:val="28"/>
                <w:lang w:val="az-Latn-AZ"/>
              </w:rPr>
              <w:t xml:space="preserve"> yekun aktivlər  </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A8</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737940.30</w:t>
            </w:r>
          </w:p>
        </w:tc>
      </w:tr>
      <w:tr w:rsidR="006707B9" w:rsidRPr="00E167F2" w:rsidTr="006707B9">
        <w:trPr>
          <w:trHeight w:val="367"/>
        </w:trPr>
        <w:tc>
          <w:tcPr>
            <w:tcW w:w="9540" w:type="dxa"/>
            <w:gridSpan w:val="4"/>
          </w:tcPr>
          <w:p w:rsidR="006707B9" w:rsidRPr="00E167F2" w:rsidRDefault="006707B9" w:rsidP="00473D1F">
            <w:pPr>
              <w:autoSpaceDE w:val="0"/>
              <w:autoSpaceDN w:val="0"/>
              <w:adjustRightInd w:val="0"/>
              <w:spacing w:after="0" w:line="240" w:lineRule="auto"/>
              <w:jc w:val="both"/>
              <w:rPr>
                <w:rFonts w:ascii="Times New Roman" w:hAnsi="Times New Roman" w:cs="Times New Roman"/>
                <w:i/>
                <w:sz w:val="24"/>
                <w:szCs w:val="28"/>
                <w:lang w:val="az-Latn-AZ"/>
              </w:rPr>
            </w:pPr>
            <w:r w:rsidRPr="00E167F2">
              <w:rPr>
                <w:rFonts w:ascii="Times New Roman" w:hAnsi="Times New Roman" w:cs="Times New Roman"/>
                <w:i/>
                <w:sz w:val="24"/>
                <w:szCs w:val="28"/>
                <w:lang w:val="az-Latn-AZ"/>
              </w:rPr>
              <w:t xml:space="preserve">                                                                                                                          Faizlə</w:t>
            </w:r>
          </w:p>
        </w:tc>
      </w:tr>
      <w:tr w:rsidR="006707B9" w:rsidRPr="00E167F2" w:rsidTr="006707B9">
        <w:trPr>
          <w:trHeight w:val="272"/>
        </w:trPr>
        <w:tc>
          <w:tcPr>
            <w:tcW w:w="6525" w:type="dxa"/>
            <w:gridSpan w:val="2"/>
          </w:tcPr>
          <w:p w:rsidR="006707B9" w:rsidRPr="00E167F2" w:rsidRDefault="006707B9" w:rsidP="00473D1F">
            <w:pPr>
              <w:pStyle w:val="Default"/>
              <w:jc w:val="both"/>
              <w:rPr>
                <w:color w:val="auto"/>
                <w:szCs w:val="28"/>
                <w:lang w:val="az-Latn-AZ"/>
              </w:rPr>
            </w:pP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 xml:space="preserve">Norma </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Fakt</w:t>
            </w:r>
          </w:p>
        </w:tc>
      </w:tr>
      <w:tr w:rsidR="006707B9" w:rsidRPr="00E167F2" w:rsidTr="006707B9">
        <w:trPr>
          <w:trHeight w:val="262"/>
        </w:trPr>
        <w:tc>
          <w:tcPr>
            <w:tcW w:w="6525" w:type="dxa"/>
            <w:gridSpan w:val="2"/>
          </w:tcPr>
          <w:p w:rsidR="006707B9" w:rsidRPr="00E167F2" w:rsidRDefault="006707B9" w:rsidP="00473D1F">
            <w:pPr>
              <w:pStyle w:val="Default"/>
              <w:jc w:val="both"/>
              <w:rPr>
                <w:b/>
                <w:color w:val="auto"/>
                <w:szCs w:val="28"/>
                <w:lang w:val="az-Latn-AZ"/>
              </w:rPr>
            </w:pPr>
            <w:r w:rsidRPr="00E167F2">
              <w:rPr>
                <w:b/>
                <w:color w:val="auto"/>
                <w:szCs w:val="28"/>
                <w:lang w:val="az-Latn-AZ"/>
              </w:rPr>
              <w:t>1</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2</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3</w:t>
            </w:r>
          </w:p>
        </w:tc>
      </w:tr>
      <w:tr w:rsidR="006707B9" w:rsidRPr="00E167F2" w:rsidTr="006707B9">
        <w:trPr>
          <w:trHeight w:val="407"/>
        </w:trPr>
        <w:tc>
          <w:tcPr>
            <w:tcW w:w="5505" w:type="dxa"/>
          </w:tcPr>
          <w:p w:rsidR="006707B9" w:rsidRPr="00E167F2" w:rsidRDefault="006707B9" w:rsidP="00473D1F">
            <w:pPr>
              <w:pStyle w:val="Default"/>
              <w:jc w:val="both"/>
              <w:rPr>
                <w:color w:val="auto"/>
                <w:szCs w:val="28"/>
                <w:lang w:val="az-Latn-AZ"/>
              </w:rPr>
            </w:pPr>
            <w:r w:rsidRPr="00E167F2">
              <w:rPr>
                <w:color w:val="auto"/>
                <w:szCs w:val="28"/>
                <w:lang w:val="az-Latn-AZ"/>
              </w:rPr>
              <w:t xml:space="preserve">9. I dərəcəli kapitalın adekvatlıq əmsalı             (3:8) x 100 </w:t>
            </w:r>
          </w:p>
        </w:tc>
        <w:tc>
          <w:tcPr>
            <w:tcW w:w="1020" w:type="dxa"/>
          </w:tcPr>
          <w:p w:rsidR="006707B9" w:rsidRPr="00E167F2" w:rsidRDefault="006707B9" w:rsidP="00473D1F">
            <w:pPr>
              <w:pStyle w:val="Default"/>
              <w:jc w:val="both"/>
              <w:rPr>
                <w:color w:val="auto"/>
                <w:szCs w:val="28"/>
                <w:lang w:val="az-Latn-AZ"/>
              </w:rPr>
            </w:pPr>
            <w:r w:rsidRPr="00E167F2">
              <w:rPr>
                <w:color w:val="auto"/>
                <w:szCs w:val="28"/>
                <w:lang w:val="az-Latn-AZ"/>
              </w:rPr>
              <w:t>A9</w:t>
            </w:r>
          </w:p>
        </w:tc>
        <w:tc>
          <w:tcPr>
            <w:tcW w:w="1245"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5.00%</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2.00</w:t>
            </w:r>
          </w:p>
        </w:tc>
      </w:tr>
      <w:tr w:rsidR="006707B9" w:rsidRPr="00E167F2" w:rsidTr="006707B9">
        <w:trPr>
          <w:trHeight w:val="401"/>
        </w:trPr>
        <w:tc>
          <w:tcPr>
            <w:tcW w:w="5505" w:type="dxa"/>
          </w:tcPr>
          <w:p w:rsidR="006707B9" w:rsidRPr="00E167F2" w:rsidRDefault="006707B9" w:rsidP="00473D1F">
            <w:pPr>
              <w:pStyle w:val="Default"/>
              <w:jc w:val="both"/>
              <w:rPr>
                <w:color w:val="auto"/>
                <w:szCs w:val="28"/>
                <w:lang w:val="az-Latn-AZ"/>
              </w:rPr>
            </w:pPr>
            <w:r w:rsidRPr="00E167F2">
              <w:rPr>
                <w:color w:val="auto"/>
                <w:szCs w:val="28"/>
                <w:lang w:val="az-Latn-AZ"/>
              </w:rPr>
              <w:t xml:space="preserve">10. Məcmu kapitalın adekvatlıq əmsalı          (7:8) x 100 </w:t>
            </w:r>
          </w:p>
        </w:tc>
        <w:tc>
          <w:tcPr>
            <w:tcW w:w="1020" w:type="dxa"/>
          </w:tcPr>
          <w:p w:rsidR="006707B9" w:rsidRPr="00E167F2" w:rsidRDefault="006707B9" w:rsidP="00473D1F">
            <w:pPr>
              <w:pStyle w:val="Default"/>
              <w:jc w:val="both"/>
              <w:rPr>
                <w:color w:val="auto"/>
                <w:szCs w:val="28"/>
                <w:lang w:val="az-Latn-AZ"/>
              </w:rPr>
            </w:pPr>
            <w:r w:rsidRPr="00E167F2">
              <w:rPr>
                <w:color w:val="auto"/>
                <w:szCs w:val="28"/>
                <w:lang w:val="az-Latn-AZ"/>
              </w:rPr>
              <w:t>A10</w:t>
            </w:r>
          </w:p>
        </w:tc>
        <w:tc>
          <w:tcPr>
            <w:tcW w:w="1245" w:type="dxa"/>
          </w:tcPr>
          <w:p w:rsidR="006707B9" w:rsidRPr="00E167F2" w:rsidRDefault="006707B9" w:rsidP="00473D1F">
            <w:pPr>
              <w:pStyle w:val="Default"/>
              <w:jc w:val="both"/>
              <w:rPr>
                <w:color w:val="auto"/>
                <w:szCs w:val="28"/>
                <w:lang w:val="az-Latn-AZ"/>
              </w:rPr>
            </w:pPr>
            <w:r w:rsidRPr="00E167F2">
              <w:rPr>
                <w:color w:val="auto"/>
                <w:szCs w:val="28"/>
                <w:lang w:val="az-Latn-AZ"/>
              </w:rPr>
              <w:t>10.00%</w:t>
            </w:r>
          </w:p>
        </w:tc>
        <w:tc>
          <w:tcPr>
            <w:tcW w:w="1770" w:type="dxa"/>
          </w:tcPr>
          <w:p w:rsidR="006707B9" w:rsidRPr="00E167F2" w:rsidRDefault="006707B9" w:rsidP="00473D1F">
            <w:pPr>
              <w:autoSpaceDE w:val="0"/>
              <w:autoSpaceDN w:val="0"/>
              <w:adjustRightInd w:val="0"/>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4.03</w:t>
            </w:r>
          </w:p>
        </w:tc>
      </w:tr>
    </w:tbl>
    <w:p w:rsidR="006707B9" w:rsidRPr="00E167F2" w:rsidRDefault="006707B9" w:rsidP="00473D1F">
      <w:pPr>
        <w:spacing w:line="360" w:lineRule="auto"/>
        <w:jc w:val="both"/>
        <w:rPr>
          <w:rFonts w:ascii="Times New Roman" w:hAnsi="Times New Roman" w:cs="Times New Roman"/>
          <w:sz w:val="24"/>
          <w:szCs w:val="28"/>
          <w:lang w:val="az-Latn-AZ"/>
        </w:rPr>
      </w:pPr>
      <w:r w:rsidRPr="00E167F2">
        <w:rPr>
          <w:rFonts w:ascii="Times New Roman" w:hAnsi="Times New Roman" w:cs="Times New Roman"/>
          <w:b/>
          <w:sz w:val="24"/>
          <w:szCs w:val="28"/>
          <w:lang w:val="az-Latn-AZ"/>
        </w:rPr>
        <w:t>Mənbə:</w:t>
      </w:r>
      <w:r w:rsidRPr="00E167F2">
        <w:rPr>
          <w:rFonts w:ascii="Times New Roman" w:hAnsi="Times New Roman" w:cs="Times New Roman"/>
          <w:sz w:val="24"/>
          <w:szCs w:val="28"/>
          <w:lang w:val="az-Latn-AZ"/>
        </w:rPr>
        <w:t xml:space="preserve"> Access bank/illik hesabatlar</w:t>
      </w:r>
    </w:p>
    <w:p w:rsidR="004846A2" w:rsidRPr="006B7E8B" w:rsidRDefault="00DB35B1" w:rsidP="00DB35B1">
      <w:pPr>
        <w:spacing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Access bankın 2007-ci ildəki devlvasiyaya qədər olan hesabatlarına baxdıqdan sonra, 2013 və 2018-ci illərdəki göstəricilərini aşağıdakı cədvəldə nəzərdən keçirə bilərik.</w:t>
      </w:r>
    </w:p>
    <w:p w:rsidR="006707B9" w:rsidRPr="006B7E8B" w:rsidRDefault="006707B9" w:rsidP="008858CC">
      <w:pPr>
        <w:spacing w:line="360" w:lineRule="auto"/>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Cədvə</w:t>
      </w:r>
      <w:r w:rsidR="00B7487E" w:rsidRPr="006B7E8B">
        <w:rPr>
          <w:rFonts w:ascii="Times New Roman" w:hAnsi="Times New Roman" w:cs="Times New Roman"/>
          <w:b/>
          <w:sz w:val="28"/>
          <w:szCs w:val="28"/>
          <w:lang w:val="az-Latn-AZ"/>
        </w:rPr>
        <w:t>l 2.3</w:t>
      </w:r>
      <w:r w:rsidRPr="006B7E8B">
        <w:rPr>
          <w:rFonts w:ascii="Times New Roman" w:hAnsi="Times New Roman" w:cs="Times New Roman"/>
          <w:b/>
          <w:sz w:val="28"/>
          <w:szCs w:val="28"/>
          <w:lang w:val="az-Latn-AZ"/>
        </w:rPr>
        <w:t>.</w:t>
      </w:r>
      <w:r w:rsidR="006B7E8B">
        <w:rPr>
          <w:rFonts w:ascii="Times New Roman" w:hAnsi="Times New Roman" w:cs="Times New Roman"/>
          <w:b/>
          <w:sz w:val="28"/>
          <w:szCs w:val="28"/>
          <w:lang w:val="az-Latn-AZ"/>
        </w:rPr>
        <w:t xml:space="preserve"> </w:t>
      </w:r>
      <w:r w:rsidRPr="006B7E8B">
        <w:rPr>
          <w:rFonts w:ascii="Times New Roman" w:hAnsi="Times New Roman" w:cs="Times New Roman"/>
          <w:sz w:val="28"/>
          <w:szCs w:val="28"/>
          <w:lang w:val="az-Latn-AZ"/>
        </w:rPr>
        <w:t xml:space="preserve">Access Bank mənfəət və zərər haqqında hesabat </w:t>
      </w:r>
      <w:r w:rsidRPr="006B7E8B">
        <w:rPr>
          <w:rFonts w:ascii="Times New Roman" w:hAnsi="Times New Roman" w:cs="Times New Roman"/>
          <w:noProof/>
          <w:sz w:val="28"/>
          <w:szCs w:val="28"/>
          <w:lang w:val="az-Latn-AZ" w:eastAsia="ru-RU"/>
        </w:rPr>
        <w:t>(</w:t>
      </w:r>
      <w:r w:rsidR="00852BBE" w:rsidRPr="006B7E8B">
        <w:rPr>
          <w:rFonts w:ascii="Times New Roman" w:hAnsi="Times New Roman" w:cs="Times New Roman"/>
          <w:noProof/>
          <w:sz w:val="28"/>
          <w:szCs w:val="28"/>
          <w:lang w:val="az-Latn-AZ" w:eastAsia="ru-RU"/>
        </w:rPr>
        <w:t xml:space="preserve">31.12.2013 və </w:t>
      </w:r>
      <w:r w:rsidRPr="006B7E8B">
        <w:rPr>
          <w:rFonts w:ascii="Times New Roman" w:hAnsi="Times New Roman" w:cs="Times New Roman"/>
          <w:noProof/>
          <w:sz w:val="28"/>
          <w:szCs w:val="28"/>
          <w:lang w:val="az-Latn-AZ" w:eastAsia="ru-RU"/>
        </w:rPr>
        <w:t>31.12.2018</w:t>
      </w:r>
      <w:r w:rsidR="00852BBE" w:rsidRPr="006B7E8B">
        <w:rPr>
          <w:rFonts w:ascii="Times New Roman" w:hAnsi="Times New Roman" w:cs="Times New Roman"/>
          <w:noProof/>
          <w:sz w:val="28"/>
          <w:szCs w:val="28"/>
          <w:lang w:val="az-Latn-AZ" w:eastAsia="ru-RU"/>
        </w:rPr>
        <w:t>-ci illər</w:t>
      </w:r>
      <w:r w:rsidRPr="006B7E8B">
        <w:rPr>
          <w:rFonts w:ascii="Times New Roman" w:hAnsi="Times New Roman" w:cs="Times New Roman"/>
          <w:noProof/>
          <w:sz w:val="28"/>
          <w:szCs w:val="28"/>
          <w:lang w:val="az-Latn-AZ" w:eastAsia="ru-RU"/>
        </w:rPr>
        <w:t>)</w:t>
      </w:r>
    </w:p>
    <w:tbl>
      <w:tblPr>
        <w:tblW w:w="946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6105"/>
        <w:gridCol w:w="1407"/>
        <w:gridCol w:w="1353"/>
      </w:tblGrid>
      <w:tr w:rsidR="00852BBE" w:rsidRPr="00E167F2" w:rsidTr="00852BBE">
        <w:trPr>
          <w:trHeight w:val="340"/>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p>
        </w:tc>
        <w:tc>
          <w:tcPr>
            <w:tcW w:w="1407"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2013</w:t>
            </w:r>
          </w:p>
        </w:tc>
        <w:tc>
          <w:tcPr>
            <w:tcW w:w="1353" w:type="dxa"/>
          </w:tcPr>
          <w:p w:rsidR="00852BBE" w:rsidRPr="00E167F2" w:rsidRDefault="00852BBE" w:rsidP="00852BBE">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2018</w:t>
            </w:r>
          </w:p>
        </w:tc>
      </w:tr>
      <w:tr w:rsidR="00852BBE" w:rsidRPr="00E167F2" w:rsidTr="00852BBE">
        <w:trPr>
          <w:trHeight w:val="340"/>
        </w:trPr>
        <w:tc>
          <w:tcPr>
            <w:tcW w:w="600" w:type="dxa"/>
          </w:tcPr>
          <w:p w:rsidR="00852BBE" w:rsidRPr="00E167F2" w:rsidRDefault="00852BBE" w:rsidP="00C7284D">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1.</w:t>
            </w:r>
          </w:p>
        </w:tc>
        <w:tc>
          <w:tcPr>
            <w:tcW w:w="6105"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Faiz və gəlirlərin bu qəbildən olan növləri, cəmi</w:t>
            </w:r>
          </w:p>
        </w:tc>
        <w:tc>
          <w:tcPr>
            <w:tcW w:w="1407" w:type="dxa"/>
          </w:tcPr>
          <w:p w:rsidR="00852BBE" w:rsidRPr="00E167F2" w:rsidRDefault="00C7284D"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en-US"/>
              </w:rPr>
              <w:t>123943</w:t>
            </w:r>
            <w:r w:rsidRPr="00E167F2">
              <w:rPr>
                <w:rFonts w:ascii="Times New Roman" w:hAnsi="Times New Roman" w:cs="Times New Roman"/>
                <w:sz w:val="24"/>
                <w:szCs w:val="28"/>
              </w:rPr>
              <w:t>,</w:t>
            </w:r>
            <w:r w:rsidRPr="00E167F2">
              <w:rPr>
                <w:rFonts w:ascii="Times New Roman" w:hAnsi="Times New Roman" w:cs="Times New Roman"/>
                <w:sz w:val="24"/>
                <w:szCs w:val="28"/>
                <w:lang w:val="en-US"/>
              </w:rPr>
              <w:t>54</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88 071</w:t>
            </w:r>
          </w:p>
        </w:tc>
      </w:tr>
      <w:tr w:rsidR="00852BBE" w:rsidRPr="00E167F2" w:rsidTr="00852BBE">
        <w:trPr>
          <w:trHeight w:val="203"/>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2.</w:t>
            </w:r>
          </w:p>
        </w:tc>
        <w:tc>
          <w:tcPr>
            <w:tcW w:w="6105" w:type="dxa"/>
          </w:tcPr>
          <w:p w:rsidR="00852BBE" w:rsidRPr="00E167F2" w:rsidRDefault="00852BBE" w:rsidP="00473D1F">
            <w:pPr>
              <w:tabs>
                <w:tab w:val="left" w:pos="1050"/>
              </w:tabs>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Faizlər və onlara bağlı xərclər, cəmi</w:t>
            </w:r>
          </w:p>
        </w:tc>
        <w:tc>
          <w:tcPr>
            <w:tcW w:w="1407" w:type="dxa"/>
          </w:tcPr>
          <w:p w:rsidR="00852BBE" w:rsidRPr="00E167F2" w:rsidRDefault="00C7284D"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34422,27</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(51 782)</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3.</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Xalis faiz mənfəəti (zərəri)</w:t>
            </w:r>
          </w:p>
        </w:tc>
        <w:tc>
          <w:tcPr>
            <w:tcW w:w="1407" w:type="dxa"/>
          </w:tcPr>
          <w:p w:rsidR="00852BBE" w:rsidRPr="00E167F2" w:rsidRDefault="00C7284D"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en-US"/>
              </w:rPr>
              <w:t>89521,27</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36 289</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4.</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Qeyri-faiz gəlirləri, cəmi</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en-US"/>
              </w:rPr>
            </w:pPr>
            <w:r w:rsidRPr="00E167F2">
              <w:rPr>
                <w:rFonts w:ascii="Times New Roman" w:hAnsi="Times New Roman" w:cs="Times New Roman"/>
                <w:sz w:val="24"/>
                <w:szCs w:val="28"/>
                <w:lang w:val="en-US"/>
              </w:rPr>
              <w:t>13689,45</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(8 974)</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5.</w:t>
            </w:r>
          </w:p>
        </w:tc>
        <w:tc>
          <w:tcPr>
            <w:tcW w:w="6105" w:type="dxa"/>
          </w:tcPr>
          <w:p w:rsidR="00852BBE" w:rsidRPr="00E167F2" w:rsidRDefault="00852BBE" w:rsidP="00473D1F">
            <w:pPr>
              <w:tabs>
                <w:tab w:val="left" w:pos="1380"/>
              </w:tabs>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CƏMİ GƏLİRLƏR</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en-US"/>
              </w:rPr>
              <w:t>14484,34</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27 315</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6.</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Qeyri-faiz xərcləri, cəmi</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64645</w:t>
            </w:r>
            <w:r w:rsidRPr="00E167F2">
              <w:rPr>
                <w:rFonts w:ascii="Times New Roman" w:hAnsi="Times New Roman" w:cs="Times New Roman"/>
                <w:sz w:val="24"/>
                <w:szCs w:val="28"/>
              </w:rPr>
              <w:t>,</w:t>
            </w:r>
            <w:r w:rsidRPr="00E167F2">
              <w:rPr>
                <w:rFonts w:ascii="Times New Roman" w:hAnsi="Times New Roman" w:cs="Times New Roman"/>
                <w:sz w:val="24"/>
                <w:szCs w:val="28"/>
                <w:lang w:val="az-Latn-AZ"/>
              </w:rPr>
              <w:t>60</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(60 309)</w:t>
            </w:r>
          </w:p>
        </w:tc>
      </w:tr>
      <w:tr w:rsidR="00852BBE" w:rsidRPr="00E167F2" w:rsidTr="00852BBE">
        <w:trPr>
          <w:trHeight w:val="220"/>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7.</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Xalis əməliyyat mənfəəti</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en-US"/>
              </w:rPr>
              <w:t>516,07</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(32 994)</w:t>
            </w:r>
          </w:p>
        </w:tc>
      </w:tr>
      <w:tr w:rsidR="00852BBE" w:rsidRPr="00E167F2" w:rsidTr="00852BBE">
        <w:trPr>
          <w:trHeight w:val="495"/>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8.</w:t>
            </w:r>
          </w:p>
        </w:tc>
        <w:tc>
          <w:tcPr>
            <w:tcW w:w="6105" w:type="dxa"/>
          </w:tcPr>
          <w:p w:rsidR="00852BBE" w:rsidRPr="00E167F2" w:rsidRDefault="00852BBE" w:rsidP="00473D1F">
            <w:pPr>
              <w:tabs>
                <w:tab w:val="left" w:pos="1305"/>
              </w:tabs>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Aktivlər üzrə mümkün zərərlərin ödənilməsi üçün xüsusi ehtiyatın yaradılmasına ayırmalar (xərclər)</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en-US"/>
              </w:rPr>
              <w:t>13289</w:t>
            </w:r>
            <w:r w:rsidRPr="00E167F2">
              <w:rPr>
                <w:rFonts w:ascii="Times New Roman" w:hAnsi="Times New Roman" w:cs="Times New Roman"/>
                <w:sz w:val="24"/>
                <w:szCs w:val="28"/>
              </w:rPr>
              <w:t>,</w:t>
            </w:r>
            <w:r w:rsidRPr="00E167F2">
              <w:rPr>
                <w:rFonts w:ascii="Times New Roman" w:hAnsi="Times New Roman" w:cs="Times New Roman"/>
                <w:sz w:val="24"/>
                <w:szCs w:val="28"/>
                <w:lang w:val="en-US"/>
              </w:rPr>
              <w:t>39</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21 415</w:t>
            </w:r>
          </w:p>
        </w:tc>
      </w:tr>
      <w:tr w:rsidR="00852BBE" w:rsidRPr="00E167F2" w:rsidTr="00852BBE">
        <w:trPr>
          <w:trHeight w:val="81"/>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9.</w:t>
            </w:r>
          </w:p>
        </w:tc>
        <w:tc>
          <w:tcPr>
            <w:tcW w:w="6105" w:type="dxa"/>
          </w:tcPr>
          <w:p w:rsidR="00852BBE" w:rsidRPr="00E167F2" w:rsidRDefault="00852BBE" w:rsidP="00473D1F">
            <w:pPr>
              <w:tabs>
                <w:tab w:val="left" w:pos="915"/>
              </w:tabs>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Vergilər ödənilənədək xalis mənfəət (zərər)</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34654,38</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(11 579)</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10.</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Mənfəətdən ödənilən vergilər</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7477</w:t>
            </w:r>
            <w:r w:rsidRPr="00E167F2">
              <w:rPr>
                <w:rFonts w:ascii="Times New Roman" w:hAnsi="Times New Roman" w:cs="Times New Roman"/>
                <w:sz w:val="24"/>
                <w:szCs w:val="28"/>
              </w:rPr>
              <w:t>,</w:t>
            </w:r>
            <w:r w:rsidRPr="00E167F2">
              <w:rPr>
                <w:rFonts w:ascii="Times New Roman" w:hAnsi="Times New Roman" w:cs="Times New Roman"/>
                <w:sz w:val="24"/>
                <w:szCs w:val="28"/>
                <w:lang w:val="az-Latn-AZ"/>
              </w:rPr>
              <w:t>79</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0</w:t>
            </w:r>
          </w:p>
        </w:tc>
      </w:tr>
      <w:tr w:rsidR="00852BBE" w:rsidRPr="00E167F2" w:rsidTr="00852BBE">
        <w:trPr>
          <w:trHeight w:val="319"/>
        </w:trPr>
        <w:tc>
          <w:tcPr>
            <w:tcW w:w="600" w:type="dxa"/>
          </w:tcPr>
          <w:p w:rsidR="00852BBE" w:rsidRPr="00E167F2" w:rsidRDefault="00852BBE"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11.</w:t>
            </w:r>
          </w:p>
        </w:tc>
        <w:tc>
          <w:tcPr>
            <w:tcW w:w="6105" w:type="dxa"/>
          </w:tcPr>
          <w:p w:rsidR="00852BBE" w:rsidRPr="00E167F2" w:rsidRDefault="00852BBE"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Vergilər ödənildikdən sonra xalis mənfəət (zərər)</w:t>
            </w:r>
          </w:p>
        </w:tc>
        <w:tc>
          <w:tcPr>
            <w:tcW w:w="1407" w:type="dxa"/>
          </w:tcPr>
          <w:p w:rsidR="00852BBE" w:rsidRPr="00E167F2" w:rsidRDefault="00C65704"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27176,59</w:t>
            </w:r>
          </w:p>
        </w:tc>
        <w:tc>
          <w:tcPr>
            <w:tcW w:w="1353" w:type="dxa"/>
          </w:tcPr>
          <w:p w:rsidR="00852BBE" w:rsidRPr="00E167F2" w:rsidRDefault="00852BBE"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(11 579)</w:t>
            </w:r>
          </w:p>
        </w:tc>
      </w:tr>
    </w:tbl>
    <w:p w:rsidR="006707B9" w:rsidRPr="00E167F2" w:rsidRDefault="006707B9" w:rsidP="00473D1F">
      <w:pPr>
        <w:spacing w:line="360" w:lineRule="auto"/>
        <w:jc w:val="both"/>
        <w:rPr>
          <w:rFonts w:ascii="Times New Roman" w:hAnsi="Times New Roman" w:cs="Times New Roman"/>
          <w:sz w:val="24"/>
          <w:szCs w:val="28"/>
          <w:lang w:val="az-Latn-AZ"/>
        </w:rPr>
      </w:pPr>
      <w:r w:rsidRPr="00E167F2">
        <w:rPr>
          <w:rFonts w:ascii="Times New Roman" w:hAnsi="Times New Roman" w:cs="Times New Roman"/>
          <w:b/>
          <w:sz w:val="24"/>
          <w:szCs w:val="28"/>
          <w:lang w:val="az-Latn-AZ"/>
        </w:rPr>
        <w:t>Mənbə:</w:t>
      </w:r>
      <w:r w:rsidRPr="00E167F2">
        <w:rPr>
          <w:rFonts w:ascii="Times New Roman" w:hAnsi="Times New Roman" w:cs="Times New Roman"/>
          <w:sz w:val="24"/>
          <w:szCs w:val="28"/>
          <w:lang w:val="az-Latn-AZ"/>
        </w:rPr>
        <w:t xml:space="preserve"> Access bank/maliyyə göstəriciləri</w:t>
      </w:r>
    </w:p>
    <w:p w:rsidR="00B7487E" w:rsidRDefault="00B7487E" w:rsidP="00473D1F">
      <w:pPr>
        <w:spacing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Acces bankın dev</w:t>
      </w:r>
      <w:r w:rsidR="004846A2" w:rsidRPr="006B7E8B">
        <w:rPr>
          <w:rFonts w:ascii="Times New Roman" w:hAnsi="Times New Roman" w:cs="Times New Roman"/>
          <w:sz w:val="28"/>
          <w:szCs w:val="28"/>
          <w:lang w:val="az-Latn-AZ"/>
        </w:rPr>
        <w:t>a</w:t>
      </w:r>
      <w:r w:rsidRPr="006B7E8B">
        <w:rPr>
          <w:rFonts w:ascii="Times New Roman" w:hAnsi="Times New Roman" w:cs="Times New Roman"/>
          <w:sz w:val="28"/>
          <w:szCs w:val="28"/>
          <w:lang w:val="az-Latn-AZ"/>
        </w:rPr>
        <w:t>lvasiya diaqnostikası üçün bankın dev</w:t>
      </w:r>
      <w:r w:rsidR="004846A2" w:rsidRPr="006B7E8B">
        <w:rPr>
          <w:rFonts w:ascii="Times New Roman" w:hAnsi="Times New Roman" w:cs="Times New Roman"/>
          <w:sz w:val="28"/>
          <w:szCs w:val="28"/>
          <w:lang w:val="az-Latn-AZ"/>
        </w:rPr>
        <w:t>a</w:t>
      </w:r>
      <w:r w:rsidRPr="006B7E8B">
        <w:rPr>
          <w:rFonts w:ascii="Times New Roman" w:hAnsi="Times New Roman" w:cs="Times New Roman"/>
          <w:sz w:val="28"/>
          <w:szCs w:val="28"/>
          <w:lang w:val="az-Latn-AZ"/>
        </w:rPr>
        <w:t>lvasiyadan əvvəl(2007) və sonrakı(2018) göstəricilərinə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 qrafikdə baxaq:</w:t>
      </w:r>
    </w:p>
    <w:p w:rsidR="00E167F2" w:rsidRDefault="00E167F2" w:rsidP="00E167F2">
      <w:pPr>
        <w:spacing w:line="360" w:lineRule="auto"/>
        <w:ind w:firstLine="708"/>
        <w:jc w:val="center"/>
        <w:rPr>
          <w:rFonts w:ascii="Times New Roman" w:hAnsi="Times New Roman" w:cs="Times New Roman"/>
          <w:b/>
          <w:sz w:val="28"/>
          <w:szCs w:val="28"/>
          <w:lang w:val="az-Latn-AZ"/>
        </w:rPr>
      </w:pPr>
    </w:p>
    <w:p w:rsidR="00E167F2" w:rsidRPr="006B7E8B" w:rsidRDefault="00E167F2" w:rsidP="00E167F2">
      <w:pPr>
        <w:spacing w:line="360" w:lineRule="auto"/>
        <w:ind w:firstLine="708"/>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Qrafik 2.1.</w:t>
      </w:r>
      <w:r w:rsidRPr="006B7E8B">
        <w:rPr>
          <w:rFonts w:ascii="Times New Roman" w:hAnsi="Times New Roman" w:cs="Times New Roman"/>
          <w:sz w:val="28"/>
          <w:szCs w:val="28"/>
          <w:lang w:val="az-Latn-AZ"/>
        </w:rPr>
        <w:t xml:space="preserve"> Acces Bankın 2007/2018-ci illər üzrə müqayisəli analizi</w:t>
      </w:r>
    </w:p>
    <w:p w:rsidR="00DE7FEE" w:rsidRPr="006B7E8B" w:rsidRDefault="00DE7FEE" w:rsidP="00473D1F">
      <w:pPr>
        <w:spacing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noProof/>
          <w:sz w:val="28"/>
          <w:szCs w:val="28"/>
          <w:lang w:val="en-US"/>
        </w:rPr>
        <w:drawing>
          <wp:inline distT="0" distB="0" distL="0" distR="0" wp14:anchorId="435527CF" wp14:editId="34E4FE5A">
            <wp:extent cx="5067300" cy="28098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87E" w:rsidRPr="006B7E8B" w:rsidRDefault="00B7487E" w:rsidP="00C40B77">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Qrafikdən gördüyümüz kimi, ümumi kapital, kapital adekvatlığı və əməliyyat mənfəətləri 2007-ci illə müqayisədə 2018-ci ildə 50%-dən çox azalmı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w:t>
      </w:r>
    </w:p>
    <w:p w:rsidR="006707B9" w:rsidRPr="006B7E8B" w:rsidRDefault="006707B9" w:rsidP="00C40B77">
      <w:pPr>
        <w:spacing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Bankın ilin sonuncu ayındakı hesabat nəticələrinə, eləcə də mənfəət və zərər cədvəllərini nəzərdən keçirdikdə, onun vəziyyətinin o qədər də ürəkaçan olmadığı qənaətinə gəlmək olar. Sözügedən bankın vəziyyətinin yax</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olmadığını sübut etmək üçün, onu Kapital bankın maliyyə göstəriciləri ilə müqayisəli təhlil etmək yerinə dü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ər. </w:t>
      </w:r>
    </w:p>
    <w:p w:rsidR="00C40B77" w:rsidRPr="006B7E8B" w:rsidRDefault="00C40B77" w:rsidP="008858CC">
      <w:pPr>
        <w:spacing w:line="360" w:lineRule="auto"/>
        <w:jc w:val="right"/>
        <w:rPr>
          <w:rFonts w:ascii="Times New Roman" w:hAnsi="Times New Roman" w:cs="Times New Roman"/>
          <w:b/>
          <w:sz w:val="28"/>
          <w:szCs w:val="28"/>
          <w:lang w:val="az-Latn-AZ"/>
        </w:rPr>
      </w:pPr>
    </w:p>
    <w:p w:rsidR="00C40B77" w:rsidRPr="006B7E8B" w:rsidRDefault="00C40B77" w:rsidP="008858CC">
      <w:pPr>
        <w:spacing w:line="360" w:lineRule="auto"/>
        <w:jc w:val="right"/>
        <w:rPr>
          <w:rFonts w:ascii="Times New Roman" w:hAnsi="Times New Roman" w:cs="Times New Roman"/>
          <w:b/>
          <w:sz w:val="28"/>
          <w:szCs w:val="28"/>
          <w:lang w:val="az-Latn-AZ"/>
        </w:rPr>
      </w:pPr>
    </w:p>
    <w:p w:rsidR="00C40B77" w:rsidRDefault="00C40B77" w:rsidP="008858CC">
      <w:pPr>
        <w:spacing w:line="360" w:lineRule="auto"/>
        <w:jc w:val="right"/>
        <w:rPr>
          <w:rFonts w:ascii="Times New Roman" w:hAnsi="Times New Roman" w:cs="Times New Roman"/>
          <w:b/>
          <w:sz w:val="28"/>
          <w:szCs w:val="28"/>
          <w:lang w:val="az-Latn-AZ"/>
        </w:rPr>
      </w:pPr>
    </w:p>
    <w:p w:rsidR="00E167F2" w:rsidRDefault="00E167F2" w:rsidP="008858CC">
      <w:pPr>
        <w:spacing w:line="360" w:lineRule="auto"/>
        <w:jc w:val="right"/>
        <w:rPr>
          <w:rFonts w:ascii="Times New Roman" w:hAnsi="Times New Roman" w:cs="Times New Roman"/>
          <w:b/>
          <w:sz w:val="28"/>
          <w:szCs w:val="28"/>
          <w:lang w:val="az-Latn-AZ"/>
        </w:rPr>
      </w:pPr>
    </w:p>
    <w:p w:rsidR="00E167F2" w:rsidRDefault="00E167F2" w:rsidP="008858CC">
      <w:pPr>
        <w:spacing w:line="360" w:lineRule="auto"/>
        <w:jc w:val="right"/>
        <w:rPr>
          <w:rFonts w:ascii="Times New Roman" w:hAnsi="Times New Roman" w:cs="Times New Roman"/>
          <w:b/>
          <w:sz w:val="28"/>
          <w:szCs w:val="28"/>
          <w:lang w:val="az-Latn-AZ"/>
        </w:rPr>
      </w:pPr>
    </w:p>
    <w:p w:rsidR="00E167F2" w:rsidRDefault="00E167F2" w:rsidP="008858CC">
      <w:pPr>
        <w:spacing w:line="360" w:lineRule="auto"/>
        <w:jc w:val="right"/>
        <w:rPr>
          <w:rFonts w:ascii="Times New Roman" w:hAnsi="Times New Roman" w:cs="Times New Roman"/>
          <w:b/>
          <w:sz w:val="28"/>
          <w:szCs w:val="28"/>
          <w:lang w:val="az-Latn-AZ"/>
        </w:rPr>
      </w:pPr>
    </w:p>
    <w:p w:rsidR="00E167F2" w:rsidRDefault="00E167F2" w:rsidP="008858CC">
      <w:pPr>
        <w:spacing w:line="360" w:lineRule="auto"/>
        <w:jc w:val="right"/>
        <w:rPr>
          <w:rFonts w:ascii="Times New Roman" w:hAnsi="Times New Roman" w:cs="Times New Roman"/>
          <w:b/>
          <w:sz w:val="28"/>
          <w:szCs w:val="28"/>
          <w:lang w:val="az-Latn-AZ"/>
        </w:rPr>
      </w:pPr>
    </w:p>
    <w:p w:rsidR="00E167F2" w:rsidRDefault="00E167F2" w:rsidP="00E167F2">
      <w:pPr>
        <w:spacing w:line="360" w:lineRule="auto"/>
        <w:jc w:val="center"/>
        <w:rPr>
          <w:rFonts w:ascii="Times New Roman" w:hAnsi="Times New Roman" w:cs="Times New Roman"/>
          <w:b/>
          <w:sz w:val="28"/>
          <w:szCs w:val="28"/>
          <w:lang w:val="az-Latn-AZ"/>
        </w:rPr>
      </w:pPr>
    </w:p>
    <w:p w:rsidR="006707B9" w:rsidRPr="006B7E8B" w:rsidRDefault="006707B9" w:rsidP="008858CC">
      <w:pPr>
        <w:spacing w:line="360" w:lineRule="auto"/>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Cədvəl 2.</w:t>
      </w:r>
      <w:r w:rsidR="00B7487E" w:rsidRPr="006B7E8B">
        <w:rPr>
          <w:rFonts w:ascii="Times New Roman" w:hAnsi="Times New Roman" w:cs="Times New Roman"/>
          <w:b/>
          <w:sz w:val="28"/>
          <w:szCs w:val="28"/>
          <w:lang w:val="az-Latn-AZ"/>
        </w:rPr>
        <w:t>4</w:t>
      </w:r>
      <w:r w:rsidRPr="006B7E8B">
        <w:rPr>
          <w:rFonts w:ascii="Times New Roman" w:hAnsi="Times New Roman" w:cs="Times New Roman"/>
          <w:b/>
          <w:sz w:val="28"/>
          <w:szCs w:val="28"/>
          <w:lang w:val="az-Latn-AZ"/>
        </w:rPr>
        <w:t>.</w:t>
      </w:r>
      <w:r w:rsidR="00E167F2">
        <w:rPr>
          <w:rFonts w:ascii="Times New Roman" w:hAnsi="Times New Roman" w:cs="Times New Roman"/>
          <w:b/>
          <w:sz w:val="28"/>
          <w:szCs w:val="28"/>
          <w:lang w:val="az-Latn-AZ"/>
        </w:rPr>
        <w:t xml:space="preserve"> </w:t>
      </w:r>
      <w:r w:rsidRPr="006B7E8B">
        <w:rPr>
          <w:rFonts w:ascii="Times New Roman" w:hAnsi="Times New Roman" w:cs="Times New Roman"/>
          <w:sz w:val="28"/>
          <w:szCs w:val="28"/>
          <w:lang w:val="az-Latn-AZ"/>
        </w:rPr>
        <w:t>Kapital Bankın maliyyə göstəriciləri (2018, IV rüb)</w:t>
      </w:r>
    </w:p>
    <w:tbl>
      <w:tblPr>
        <w:tblW w:w="93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1134"/>
        <w:gridCol w:w="2811"/>
      </w:tblGrid>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sz w:val="24"/>
                <w:szCs w:val="28"/>
                <w:lang w:val="az-Latn-AZ"/>
              </w:rPr>
              <w:t>Kapital Vəsaitləri</w:t>
            </w:r>
          </w:p>
        </w:tc>
        <w:tc>
          <w:tcPr>
            <w:tcW w:w="2811" w:type="dxa"/>
          </w:tcPr>
          <w:p w:rsidR="006707B9" w:rsidRPr="00E167F2" w:rsidRDefault="006707B9" w:rsidP="00473D1F">
            <w:pPr>
              <w:spacing w:after="0" w:line="240" w:lineRule="auto"/>
              <w:jc w:val="both"/>
              <w:rPr>
                <w:rFonts w:ascii="Times New Roman" w:hAnsi="Times New Roman" w:cs="Times New Roman"/>
                <w:b/>
                <w:sz w:val="24"/>
                <w:szCs w:val="28"/>
                <w:lang w:val="az-Latn-AZ"/>
              </w:rPr>
            </w:pPr>
            <w:r w:rsidRPr="00E167F2">
              <w:rPr>
                <w:rFonts w:ascii="Times New Roman" w:hAnsi="Times New Roman" w:cs="Times New Roman"/>
                <w:sz w:val="24"/>
                <w:szCs w:val="28"/>
                <w:lang w:val="az-Latn-AZ"/>
              </w:rPr>
              <w:t>Cəmi (1000 AZN ilə)</w:t>
            </w:r>
          </w:p>
        </w:tc>
      </w:tr>
      <w:tr w:rsidR="006707B9" w:rsidRPr="00E167F2" w:rsidTr="006707B9">
        <w:trPr>
          <w:trHeight w:val="609"/>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 I dərəcəli kapital (Əsas kapital) (Məcmu kapitalın 50 faizdən az olmamalıdır)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248835</w:t>
            </w:r>
          </w:p>
        </w:tc>
      </w:tr>
      <w:tr w:rsidR="006707B9" w:rsidRPr="00E167F2" w:rsidTr="006707B9">
        <w:trPr>
          <w:trHeight w:val="33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 Adi səhmlər (tam ödənilmi</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paylar)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185850</w:t>
            </w:r>
          </w:p>
        </w:tc>
      </w:tr>
      <w:tr w:rsidR="006707B9" w:rsidRPr="00E167F2" w:rsidTr="006707B9">
        <w:trPr>
          <w:trHeight w:val="344"/>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b) Qeyri-kumulyativ müddətsiz imtiyazlı səhmlər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40000</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c) Səhmlərin emissiyasından əmələ gələn əlavə vəsait</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800</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d) Bölü</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dürülməmi</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xalis mənfəət (zərər), cəmi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22185</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d1) əvvəlki illərin mənfəəti (zərəri)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2114</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d2) (çıx) cari ilin zərəri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d3) kapital ehtiyatları (fondları)</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20070</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e) Digər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 I dərəcəli kapitaldan tutulmalar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19203</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 Qeyri-maddi aktivlər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19203</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b) Təxirə salınmı</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vergi aktivləri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 Tutulmalardan sonra I dərəcəli kapitalı (I—2)</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229631</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 II dərəcəli kapital (I dərəcəli kapitalın məbləğindən çox olmamalıdır)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118200</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 Cari ilin mənfəəti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98053</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b) Ümumi ehtiyatlar (aktivlər üzrə yaradılmı</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adi ehtiyatlardan çox olmamaqla)</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20146</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c) Kapitalın digər komponentləri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c1) kumulyativ müddətsiz imtiyazlı səhmlər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c2) subordinasiya borc öhdəlikləri</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d) Digər vəsaitlər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 Məcmu kapital (3+4)</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347831</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6. Məcmu kapitaldan tutulmalar:</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5289</w:t>
            </w:r>
          </w:p>
        </w:tc>
      </w:tr>
      <w:tr w:rsidR="006707B9" w:rsidRPr="00E167F2" w:rsidTr="006707B9">
        <w:trPr>
          <w:trHeight w:val="297"/>
        </w:trPr>
        <w:tc>
          <w:tcPr>
            <w:tcW w:w="6519" w:type="dxa"/>
            <w:gridSpan w:val="2"/>
          </w:tcPr>
          <w:p w:rsidR="006707B9" w:rsidRPr="00E167F2" w:rsidRDefault="006707B9" w:rsidP="00473D1F">
            <w:pPr>
              <w:pStyle w:val="ListParagraph"/>
              <w:numPr>
                <w:ilvl w:val="0"/>
                <w:numId w:val="6"/>
              </w:num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Birlə</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məmi</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(konsolidasiya olunmamı</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törəmə banka və digər maliyyə idarələrinin kapitalına və bütün qeyri-bank müəssisələrinə kapital investisiyaları, o cümlədən qar</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ılıqlı investisiyalar (xalis)</w:t>
            </w:r>
          </w:p>
          <w:p w:rsidR="006707B9" w:rsidRPr="00E167F2" w:rsidRDefault="006707B9" w:rsidP="00473D1F">
            <w:pPr>
              <w:pStyle w:val="ListParagraph"/>
              <w:numPr>
                <w:ilvl w:val="0"/>
                <w:numId w:val="6"/>
              </w:num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Bütün digər investisiyalar (xalis)</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500</w:t>
            </w:r>
          </w:p>
          <w:p w:rsidR="006707B9" w:rsidRPr="00E167F2" w:rsidRDefault="006707B9" w:rsidP="00473D1F">
            <w:pPr>
              <w:spacing w:after="0" w:line="240" w:lineRule="auto"/>
              <w:jc w:val="both"/>
              <w:rPr>
                <w:rFonts w:ascii="Times New Roman" w:hAnsi="Times New Roman" w:cs="Times New Roman"/>
                <w:sz w:val="24"/>
                <w:szCs w:val="28"/>
                <w:lang w:val="az-Latn-AZ"/>
              </w:rPr>
            </w:pPr>
          </w:p>
          <w:p w:rsidR="006707B9" w:rsidRPr="00E167F2" w:rsidRDefault="006707B9" w:rsidP="00473D1F">
            <w:pPr>
              <w:spacing w:after="0" w:line="240" w:lineRule="auto"/>
              <w:jc w:val="both"/>
              <w:rPr>
                <w:rFonts w:ascii="Times New Roman" w:hAnsi="Times New Roman" w:cs="Times New Roman"/>
                <w:sz w:val="24"/>
                <w:szCs w:val="28"/>
                <w:lang w:val="az-Latn-AZ"/>
              </w:rPr>
            </w:pPr>
          </w:p>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4789</w:t>
            </w:r>
          </w:p>
        </w:tc>
      </w:tr>
      <w:tr w:rsidR="006707B9" w:rsidRPr="00E167F2" w:rsidTr="006707B9">
        <w:trPr>
          <w:trHeight w:val="297"/>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 Tutulmalardan sonra məcmu kapital (5-6)</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342542</w:t>
            </w:r>
          </w:p>
        </w:tc>
      </w:tr>
      <w:tr w:rsidR="006707B9" w:rsidRPr="00E167F2" w:rsidTr="006707B9">
        <w:trPr>
          <w:trHeight w:val="511"/>
        </w:trPr>
        <w:tc>
          <w:tcPr>
            <w:tcW w:w="6519" w:type="dxa"/>
            <w:gridSpan w:val="2"/>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 Risk dərəcəsi üzrə ölçülmu</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 xml:space="preserve"> yekun aktivlər (cədvəl A15, E sətirindən)</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2154494</w:t>
            </w:r>
          </w:p>
        </w:tc>
      </w:tr>
      <w:tr w:rsidR="006707B9" w:rsidRPr="00E167F2" w:rsidTr="006707B9">
        <w:trPr>
          <w:trHeight w:val="281"/>
        </w:trPr>
        <w:tc>
          <w:tcPr>
            <w:tcW w:w="9330" w:type="dxa"/>
            <w:gridSpan w:val="3"/>
          </w:tcPr>
          <w:p w:rsidR="006707B9" w:rsidRPr="00E167F2" w:rsidRDefault="006707B9" w:rsidP="00473D1F">
            <w:pPr>
              <w:spacing w:after="0" w:line="240" w:lineRule="auto"/>
              <w:jc w:val="both"/>
              <w:rPr>
                <w:rFonts w:ascii="Times New Roman" w:hAnsi="Times New Roman" w:cs="Times New Roman"/>
                <w:i/>
                <w:sz w:val="24"/>
                <w:szCs w:val="28"/>
                <w:lang w:val="az-Latn-AZ"/>
              </w:rPr>
            </w:pPr>
            <w:r w:rsidRPr="00E167F2">
              <w:rPr>
                <w:rFonts w:ascii="Times New Roman" w:hAnsi="Times New Roman" w:cs="Times New Roman"/>
                <w:i/>
                <w:sz w:val="24"/>
                <w:szCs w:val="28"/>
                <w:lang w:val="az-Latn-AZ"/>
              </w:rPr>
              <w:t xml:space="preserve">Faizlə </w:t>
            </w:r>
          </w:p>
        </w:tc>
      </w:tr>
      <w:tr w:rsidR="006707B9" w:rsidRPr="00E167F2" w:rsidTr="006707B9">
        <w:trPr>
          <w:trHeight w:val="287"/>
        </w:trPr>
        <w:tc>
          <w:tcPr>
            <w:tcW w:w="5385" w:type="dxa"/>
          </w:tcPr>
          <w:p w:rsidR="006707B9" w:rsidRPr="00E167F2" w:rsidRDefault="006707B9" w:rsidP="00473D1F">
            <w:pPr>
              <w:spacing w:after="0" w:line="240" w:lineRule="auto"/>
              <w:jc w:val="both"/>
              <w:rPr>
                <w:rFonts w:ascii="Times New Roman" w:hAnsi="Times New Roman" w:cs="Times New Roman"/>
                <w:sz w:val="24"/>
                <w:szCs w:val="28"/>
                <w:lang w:val="az-Latn-AZ"/>
              </w:rPr>
            </w:pPr>
          </w:p>
        </w:tc>
        <w:tc>
          <w:tcPr>
            <w:tcW w:w="1134" w:type="dxa"/>
          </w:tcPr>
          <w:p w:rsidR="006707B9" w:rsidRPr="00E167F2" w:rsidRDefault="006707B9" w:rsidP="00473D1F">
            <w:pPr>
              <w:spacing w:after="0" w:line="240" w:lineRule="auto"/>
              <w:ind w:left="72"/>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Norma</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Fakt</w:t>
            </w:r>
          </w:p>
        </w:tc>
      </w:tr>
      <w:tr w:rsidR="006707B9" w:rsidRPr="00E167F2" w:rsidTr="006707B9">
        <w:trPr>
          <w:trHeight w:val="435"/>
        </w:trPr>
        <w:tc>
          <w:tcPr>
            <w:tcW w:w="5385"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9. I dərəcəli kapitalın adekvatlıq əmsalı (3:8) x 100</w:t>
            </w:r>
          </w:p>
        </w:tc>
        <w:tc>
          <w:tcPr>
            <w:tcW w:w="1134"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10.03</w:t>
            </w:r>
          </w:p>
        </w:tc>
      </w:tr>
      <w:tr w:rsidR="006707B9" w:rsidRPr="00E167F2" w:rsidTr="006707B9">
        <w:trPr>
          <w:trHeight w:val="625"/>
        </w:trPr>
        <w:tc>
          <w:tcPr>
            <w:tcW w:w="5385"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10. Məcmu kapitalın adekvatlıq əmsalı (7:8) x 100</w:t>
            </w:r>
          </w:p>
        </w:tc>
        <w:tc>
          <w:tcPr>
            <w:tcW w:w="1134"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10%</w:t>
            </w:r>
          </w:p>
        </w:tc>
        <w:tc>
          <w:tcPr>
            <w:tcW w:w="2811" w:type="dxa"/>
          </w:tcPr>
          <w:p w:rsidR="006707B9" w:rsidRPr="00E167F2" w:rsidRDefault="006707B9" w:rsidP="00473D1F">
            <w:pPr>
              <w:spacing w:after="0" w:line="24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15.31</w:t>
            </w:r>
          </w:p>
        </w:tc>
      </w:tr>
    </w:tbl>
    <w:p w:rsidR="006707B9" w:rsidRPr="006B7E8B" w:rsidRDefault="006707B9" w:rsidP="00473D1F">
      <w:pPr>
        <w:spacing w:after="0" w:line="360" w:lineRule="auto"/>
        <w:jc w:val="both"/>
        <w:rPr>
          <w:rFonts w:ascii="Times New Roman" w:hAnsi="Times New Roman" w:cs="Times New Roman"/>
          <w:i/>
          <w:sz w:val="28"/>
          <w:szCs w:val="28"/>
          <w:lang w:val="az-Latn-AZ"/>
        </w:rPr>
      </w:pPr>
    </w:p>
    <w:p w:rsidR="006707B9" w:rsidRPr="00E167F2" w:rsidRDefault="006707B9" w:rsidP="00473D1F">
      <w:pPr>
        <w:spacing w:line="360" w:lineRule="auto"/>
        <w:jc w:val="both"/>
        <w:rPr>
          <w:rFonts w:ascii="Times New Roman" w:hAnsi="Times New Roman" w:cs="Times New Roman"/>
          <w:sz w:val="24"/>
          <w:szCs w:val="28"/>
          <w:lang w:val="az-Latn-AZ"/>
        </w:rPr>
      </w:pPr>
      <w:r w:rsidRPr="00E167F2">
        <w:rPr>
          <w:rFonts w:ascii="Times New Roman" w:hAnsi="Times New Roman" w:cs="Times New Roman"/>
          <w:b/>
          <w:sz w:val="24"/>
          <w:szCs w:val="28"/>
          <w:lang w:val="az-Latn-AZ"/>
        </w:rPr>
        <w:t>Mənbə:</w:t>
      </w:r>
      <w:r w:rsidRPr="00E167F2">
        <w:rPr>
          <w:rFonts w:ascii="Times New Roman" w:hAnsi="Times New Roman" w:cs="Times New Roman"/>
          <w:sz w:val="24"/>
          <w:szCs w:val="28"/>
          <w:lang w:val="az-Latn-AZ"/>
        </w:rPr>
        <w:t xml:space="preserve"> Kapital bank, maliyyə göstəriciləri</w:t>
      </w:r>
    </w:p>
    <w:p w:rsidR="00E167F2" w:rsidRDefault="00E167F2" w:rsidP="008858CC">
      <w:pPr>
        <w:spacing w:line="360" w:lineRule="auto"/>
        <w:jc w:val="right"/>
        <w:rPr>
          <w:rFonts w:ascii="Times New Roman" w:hAnsi="Times New Roman" w:cs="Times New Roman"/>
          <w:b/>
          <w:sz w:val="28"/>
          <w:szCs w:val="28"/>
          <w:lang w:val="az-Latn-AZ"/>
        </w:rPr>
      </w:pPr>
    </w:p>
    <w:p w:rsidR="006707B9" w:rsidRPr="006B7E8B" w:rsidRDefault="006707B9" w:rsidP="00E167F2">
      <w:pPr>
        <w:spacing w:line="360" w:lineRule="auto"/>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Cədvəl 2.</w:t>
      </w:r>
      <w:r w:rsidR="00B7487E" w:rsidRPr="006B7E8B">
        <w:rPr>
          <w:rFonts w:ascii="Times New Roman" w:hAnsi="Times New Roman" w:cs="Times New Roman"/>
          <w:b/>
          <w:sz w:val="28"/>
          <w:szCs w:val="28"/>
          <w:lang w:val="az-Latn-AZ"/>
        </w:rPr>
        <w:t>5</w:t>
      </w:r>
      <w:r w:rsidRPr="006B7E8B">
        <w:rPr>
          <w:rFonts w:ascii="Times New Roman" w:hAnsi="Times New Roman" w:cs="Times New Roman"/>
          <w:b/>
          <w:sz w:val="28"/>
          <w:szCs w:val="28"/>
          <w:lang w:val="az-Latn-AZ"/>
        </w:rPr>
        <w:t xml:space="preserve">. </w:t>
      </w:r>
      <w:r w:rsidRPr="006B7E8B">
        <w:rPr>
          <w:rFonts w:ascii="Times New Roman" w:hAnsi="Times New Roman" w:cs="Times New Roman"/>
          <w:sz w:val="28"/>
          <w:szCs w:val="28"/>
          <w:lang w:val="az-Latn-AZ"/>
        </w:rPr>
        <w:t>Kapital bankın mənfəət və zərər haqqında hesabatı (</w:t>
      </w:r>
      <w:r w:rsidR="00DB35B1" w:rsidRPr="006B7E8B">
        <w:rPr>
          <w:rFonts w:ascii="Times New Roman" w:hAnsi="Times New Roman" w:cs="Times New Roman"/>
          <w:sz w:val="28"/>
          <w:szCs w:val="28"/>
          <w:lang w:val="az-Latn-AZ"/>
        </w:rPr>
        <w:t>2013 və 2018-ci illər</w:t>
      </w:r>
      <w:r w:rsidRPr="006B7E8B">
        <w:rPr>
          <w:rFonts w:ascii="Times New Roman" w:hAnsi="Times New Roman" w:cs="Times New Roman"/>
          <w:sz w:val="28"/>
          <w:szCs w:val="28"/>
          <w:lang w:val="az-Latn-AZ"/>
        </w:rPr>
        <w:t>)</w:t>
      </w:r>
    </w:p>
    <w:tbl>
      <w:tblPr>
        <w:tblW w:w="947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5997"/>
        <w:gridCol w:w="986"/>
        <w:gridCol w:w="2041"/>
      </w:tblGrid>
      <w:tr w:rsidR="00DB35B1" w:rsidRPr="00E167F2" w:rsidTr="00DB35B1">
        <w:trPr>
          <w:trHeight w:val="745"/>
        </w:trPr>
        <w:tc>
          <w:tcPr>
            <w:tcW w:w="454" w:type="dxa"/>
          </w:tcPr>
          <w:p w:rsidR="00DB35B1" w:rsidRPr="00E167F2" w:rsidRDefault="00DB35B1" w:rsidP="00473D1F">
            <w:pPr>
              <w:spacing w:after="0" w:line="360" w:lineRule="auto"/>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b/>
                <w:sz w:val="24"/>
                <w:szCs w:val="28"/>
                <w:lang w:val="az-Latn-AZ"/>
              </w:rPr>
              <w:t>Mənfəət və zərər</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2013</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2018</w:t>
            </w:r>
          </w:p>
        </w:tc>
      </w:tr>
      <w:tr w:rsidR="00DB35B1" w:rsidRPr="00E167F2" w:rsidTr="00DB35B1">
        <w:trPr>
          <w:trHeight w:val="299"/>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Faiz və gəlirlərin bu qəbildən olan növləri,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62,786</w:t>
            </w:r>
          </w:p>
        </w:tc>
        <w:tc>
          <w:tcPr>
            <w:tcW w:w="2041" w:type="dxa"/>
          </w:tcPr>
          <w:p w:rsidR="00DB35B1" w:rsidRPr="00E167F2" w:rsidRDefault="00DB35B1"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sz w:val="24"/>
                <w:szCs w:val="28"/>
                <w:lang w:val="az-Latn-AZ"/>
              </w:rPr>
              <w:t>321562</w:t>
            </w:r>
          </w:p>
        </w:tc>
      </w:tr>
      <w:tr w:rsidR="00DB35B1" w:rsidRPr="00E167F2" w:rsidTr="00DB35B1">
        <w:trPr>
          <w:trHeight w:val="236"/>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sz w:val="24"/>
                <w:szCs w:val="28"/>
                <w:lang w:val="az-Latn-AZ"/>
              </w:rPr>
              <w:t>Faizlər və onlara bağlı xərclər,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25,442</w:t>
            </w:r>
          </w:p>
        </w:tc>
        <w:tc>
          <w:tcPr>
            <w:tcW w:w="2041" w:type="dxa"/>
          </w:tcPr>
          <w:p w:rsidR="00DB35B1" w:rsidRPr="00E167F2" w:rsidRDefault="00DB35B1" w:rsidP="00473D1F">
            <w:pPr>
              <w:spacing w:after="0" w:line="360" w:lineRule="auto"/>
              <w:jc w:val="both"/>
              <w:rPr>
                <w:rFonts w:ascii="Times New Roman" w:hAnsi="Times New Roman" w:cs="Times New Roman"/>
                <w:b/>
                <w:sz w:val="24"/>
                <w:szCs w:val="28"/>
                <w:lang w:val="az-Latn-AZ"/>
              </w:rPr>
            </w:pPr>
            <w:r w:rsidRPr="00E167F2">
              <w:rPr>
                <w:rFonts w:ascii="Times New Roman" w:hAnsi="Times New Roman" w:cs="Times New Roman"/>
                <w:sz w:val="24"/>
                <w:szCs w:val="28"/>
                <w:lang w:val="az-Latn-AZ"/>
              </w:rPr>
              <w:t>75713</w:t>
            </w:r>
          </w:p>
        </w:tc>
      </w:tr>
      <w:tr w:rsidR="00DB35B1" w:rsidRPr="00E167F2" w:rsidTr="00DB35B1">
        <w:trPr>
          <w:trHeight w:val="456"/>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Xalis faiz gəliri (zərəri) (sətir 1 çıx sətir 2)</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37,334</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245849</w:t>
            </w:r>
          </w:p>
        </w:tc>
      </w:tr>
      <w:tr w:rsidR="00DB35B1" w:rsidRPr="00E167F2" w:rsidTr="00DB35B1">
        <w:trPr>
          <w:trHeight w:val="378"/>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Qeyri-faiz gəlirləri,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en-US"/>
              </w:rPr>
            </w:pPr>
            <w:r w:rsidRPr="00E167F2">
              <w:rPr>
                <w:rFonts w:ascii="Times New Roman" w:hAnsi="Times New Roman" w:cs="Times New Roman"/>
                <w:sz w:val="24"/>
                <w:szCs w:val="28"/>
                <w:lang w:val="az-Latn-AZ"/>
              </w:rPr>
              <w:t>59,</w:t>
            </w:r>
            <w:r w:rsidRPr="00E167F2">
              <w:rPr>
                <w:rFonts w:ascii="Times New Roman" w:hAnsi="Times New Roman" w:cs="Times New Roman"/>
                <w:sz w:val="24"/>
                <w:szCs w:val="28"/>
                <w:lang w:val="en-US"/>
              </w:rPr>
              <w:t>924</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136851</w:t>
            </w:r>
          </w:p>
        </w:tc>
      </w:tr>
      <w:tr w:rsidR="00DB35B1" w:rsidRPr="00E167F2" w:rsidTr="00DB35B1">
        <w:trPr>
          <w:trHeight w:val="313"/>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Qeyri-faiz xərcləri,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37,344</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159462</w:t>
            </w:r>
          </w:p>
        </w:tc>
      </w:tr>
      <w:tr w:rsidR="00DB35B1" w:rsidRPr="00E167F2" w:rsidTr="00DB35B1">
        <w:trPr>
          <w:trHeight w:val="419"/>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Əməliyyat mənfəəti (zərəri) (sətir 3 üstəgəl sətir 4 çıx sətir 5)</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55,073</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223238</w:t>
            </w:r>
          </w:p>
        </w:tc>
      </w:tr>
      <w:tr w:rsidR="00DB35B1" w:rsidRPr="00E167F2" w:rsidTr="00DB35B1">
        <w:trPr>
          <w:trHeight w:val="131"/>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Aktivlər üzrə mümkün zərərlərin ödənilməsi üçün xüsusi ehtiyatın yaradılmasına ayırmalar (xərclər),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47,701</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93411</w:t>
            </w:r>
          </w:p>
        </w:tc>
      </w:tr>
      <w:tr w:rsidR="00DB35B1" w:rsidRPr="00E167F2" w:rsidTr="00DB35B1">
        <w:trPr>
          <w:trHeight w:val="706"/>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Vergilər və bank fəaliyyəti ilə bağlı gözlənilməz xərclər ödənilənədək mənfəət (zərər) (sətir 6 çıx sətir 7)</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75,275</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129826</w:t>
            </w:r>
          </w:p>
        </w:tc>
      </w:tr>
      <w:tr w:rsidR="00DB35B1" w:rsidRPr="00E167F2" w:rsidTr="00DB35B1">
        <w:trPr>
          <w:trHeight w:val="583"/>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Gözlənilməz fəaliyyət növlərindən və əvvəlki dövr üçün uçotdakı dəyişikliklərdən gəlir (xırc), cəmi</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41,681</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r w:rsidR="00DB35B1" w:rsidRPr="00E167F2" w:rsidTr="00DB35B1">
        <w:trPr>
          <w:trHeight w:val="456"/>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Vergilər ödənilənədək mənfəət (zərər) (sətir 8 üstəgəl (çıx) sətir 9)</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8,692</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129826</w:t>
            </w:r>
          </w:p>
        </w:tc>
      </w:tr>
      <w:tr w:rsidR="00DB35B1" w:rsidRPr="00E167F2" w:rsidTr="00DB35B1">
        <w:trPr>
          <w:trHeight w:val="199"/>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Mənfəətdən vergilər</w:t>
            </w:r>
          </w:p>
        </w:tc>
        <w:tc>
          <w:tcPr>
            <w:tcW w:w="986" w:type="dxa"/>
          </w:tcPr>
          <w:p w:rsidR="00DB35B1" w:rsidRPr="00E167F2" w:rsidRDefault="00DB35B1" w:rsidP="00C7284D">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32,989</w:t>
            </w: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31773</w:t>
            </w:r>
          </w:p>
        </w:tc>
      </w:tr>
      <w:tr w:rsidR="00DB35B1" w:rsidRPr="00E167F2" w:rsidTr="00DB35B1">
        <w:trPr>
          <w:trHeight w:val="263"/>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Xalis mənfəət (zərər) (sətir 10 çıx sətir 11)</w:t>
            </w:r>
          </w:p>
        </w:tc>
        <w:tc>
          <w:tcPr>
            <w:tcW w:w="986" w:type="dxa"/>
          </w:tcPr>
          <w:p w:rsidR="00DB35B1" w:rsidRPr="00E167F2" w:rsidRDefault="00DB35B1" w:rsidP="00473D1F">
            <w:pPr>
              <w:spacing w:after="0" w:line="360" w:lineRule="auto"/>
              <w:jc w:val="both"/>
              <w:rPr>
                <w:rFonts w:ascii="Times New Roman" w:hAnsi="Times New Roman" w:cs="Times New Roman"/>
                <w:sz w:val="24"/>
                <w:szCs w:val="28"/>
                <w:lang w:val="az-Latn-AZ"/>
              </w:rPr>
            </w:pP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98053</w:t>
            </w:r>
          </w:p>
        </w:tc>
      </w:tr>
      <w:tr w:rsidR="00DB35B1" w:rsidRPr="00E167F2" w:rsidTr="00DB35B1">
        <w:trPr>
          <w:trHeight w:val="341"/>
        </w:trPr>
        <w:tc>
          <w:tcPr>
            <w:tcW w:w="454" w:type="dxa"/>
          </w:tcPr>
          <w:p w:rsidR="00DB35B1" w:rsidRPr="00E167F2" w:rsidRDefault="00DB35B1" w:rsidP="00473D1F">
            <w:pPr>
              <w:pStyle w:val="ListParagraph"/>
              <w:numPr>
                <w:ilvl w:val="0"/>
                <w:numId w:val="7"/>
              </w:numPr>
              <w:spacing w:after="0" w:line="360" w:lineRule="auto"/>
              <w:ind w:left="360"/>
              <w:jc w:val="both"/>
              <w:rPr>
                <w:rFonts w:ascii="Times New Roman" w:hAnsi="Times New Roman" w:cs="Times New Roman"/>
                <w:b/>
                <w:sz w:val="24"/>
                <w:szCs w:val="28"/>
                <w:lang w:val="az-Latn-AZ"/>
              </w:rPr>
            </w:pPr>
          </w:p>
        </w:tc>
        <w:tc>
          <w:tcPr>
            <w:tcW w:w="5997"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Elan olunmuş dividendlər, məbləğ</w:t>
            </w:r>
          </w:p>
        </w:tc>
        <w:tc>
          <w:tcPr>
            <w:tcW w:w="986" w:type="dxa"/>
          </w:tcPr>
          <w:p w:rsidR="00DB35B1" w:rsidRPr="00E167F2" w:rsidRDefault="00DB35B1" w:rsidP="00473D1F">
            <w:pPr>
              <w:spacing w:after="0" w:line="360" w:lineRule="auto"/>
              <w:jc w:val="both"/>
              <w:rPr>
                <w:rFonts w:ascii="Times New Roman" w:hAnsi="Times New Roman" w:cs="Times New Roman"/>
                <w:sz w:val="24"/>
                <w:szCs w:val="28"/>
                <w:lang w:val="az-Latn-AZ"/>
              </w:rPr>
            </w:pPr>
          </w:p>
        </w:tc>
        <w:tc>
          <w:tcPr>
            <w:tcW w:w="2041" w:type="dxa"/>
          </w:tcPr>
          <w:p w:rsidR="00DB35B1" w:rsidRPr="00E167F2" w:rsidRDefault="00DB35B1" w:rsidP="00473D1F">
            <w:pPr>
              <w:spacing w:after="0" w:line="360" w:lineRule="auto"/>
              <w:jc w:val="both"/>
              <w:rPr>
                <w:rFonts w:ascii="Times New Roman" w:hAnsi="Times New Roman" w:cs="Times New Roman"/>
                <w:sz w:val="24"/>
                <w:szCs w:val="28"/>
                <w:lang w:val="az-Latn-AZ"/>
              </w:rPr>
            </w:pPr>
            <w:r w:rsidRPr="00E167F2">
              <w:rPr>
                <w:rFonts w:ascii="Times New Roman" w:hAnsi="Times New Roman" w:cs="Times New Roman"/>
                <w:sz w:val="24"/>
                <w:szCs w:val="28"/>
                <w:lang w:val="az-Latn-AZ"/>
              </w:rPr>
              <w:t>-</w:t>
            </w:r>
          </w:p>
        </w:tc>
      </w:tr>
    </w:tbl>
    <w:p w:rsidR="006707B9" w:rsidRPr="00E167F2" w:rsidRDefault="006707B9" w:rsidP="00E167F2">
      <w:pPr>
        <w:spacing w:before="240" w:line="360" w:lineRule="auto"/>
        <w:rPr>
          <w:rFonts w:ascii="Times New Roman" w:hAnsi="Times New Roman" w:cs="Times New Roman"/>
          <w:sz w:val="24"/>
          <w:szCs w:val="28"/>
          <w:lang w:val="az-Latn-AZ"/>
        </w:rPr>
      </w:pPr>
      <w:r w:rsidRPr="00E167F2">
        <w:rPr>
          <w:rFonts w:ascii="Times New Roman" w:hAnsi="Times New Roman" w:cs="Times New Roman"/>
          <w:b/>
          <w:sz w:val="24"/>
          <w:szCs w:val="28"/>
          <w:lang w:val="az-Latn-AZ"/>
        </w:rPr>
        <w:t>Mənbə:</w:t>
      </w:r>
      <w:r w:rsidRPr="00E167F2">
        <w:rPr>
          <w:rFonts w:ascii="Times New Roman" w:hAnsi="Times New Roman" w:cs="Times New Roman"/>
          <w:sz w:val="24"/>
          <w:szCs w:val="28"/>
          <w:lang w:val="az-Latn-AZ"/>
        </w:rPr>
        <w:t xml:space="preserve"> Kapital bank, maliyyə göstəriciləri</w:t>
      </w:r>
    </w:p>
    <w:p w:rsidR="008A2D08" w:rsidRPr="006B7E8B" w:rsidRDefault="008A2D08" w:rsidP="00C40B77">
      <w:pPr>
        <w:spacing w:before="240"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Ümumi mənzərəyə baxdıqda Kaital bankın vəziyyətinin yax</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olduunu görürük. Bunu deməyə bankın ümumi fəaliyyət, mənfəət və zərər göstəriciləri əsas verir. </w:t>
      </w:r>
    </w:p>
    <w:p w:rsidR="008A2D08" w:rsidRDefault="008A2D08" w:rsidP="00C40B77">
      <w:pPr>
        <w:spacing w:before="240"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Göstərilən iki bankın böhran diaqnostikasını həyata keçirmək üçün iki bankın göstəricilərini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dıraq. Bu prosesi daha aydın görmək üçün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ağıdakı qrafik bizim köməyimizə çatacaq. </w:t>
      </w:r>
    </w:p>
    <w:p w:rsidR="00E167F2" w:rsidRDefault="00E167F2" w:rsidP="00C40B77">
      <w:pPr>
        <w:spacing w:before="240" w:line="360" w:lineRule="auto"/>
        <w:ind w:firstLine="709"/>
        <w:contextualSpacing/>
        <w:jc w:val="both"/>
        <w:rPr>
          <w:rFonts w:ascii="Times New Roman" w:hAnsi="Times New Roman" w:cs="Times New Roman"/>
          <w:sz w:val="28"/>
          <w:szCs w:val="28"/>
          <w:lang w:val="az-Latn-AZ"/>
        </w:rPr>
      </w:pPr>
    </w:p>
    <w:p w:rsidR="00E167F2" w:rsidRDefault="00E167F2" w:rsidP="00C40B77">
      <w:pPr>
        <w:spacing w:before="240" w:line="360" w:lineRule="auto"/>
        <w:ind w:firstLine="709"/>
        <w:contextualSpacing/>
        <w:jc w:val="both"/>
        <w:rPr>
          <w:rFonts w:ascii="Times New Roman" w:hAnsi="Times New Roman" w:cs="Times New Roman"/>
          <w:sz w:val="28"/>
          <w:szCs w:val="28"/>
          <w:lang w:val="az-Latn-AZ"/>
        </w:rPr>
      </w:pPr>
    </w:p>
    <w:p w:rsidR="00E167F2" w:rsidRPr="006B7E8B" w:rsidRDefault="00E167F2" w:rsidP="00E167F2">
      <w:pPr>
        <w:spacing w:before="240" w:line="360" w:lineRule="auto"/>
        <w:ind w:firstLine="708"/>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Qrafik 2.2.</w:t>
      </w:r>
      <w:r w:rsidRPr="006B7E8B">
        <w:rPr>
          <w:rFonts w:ascii="Times New Roman" w:hAnsi="Times New Roman" w:cs="Times New Roman"/>
          <w:sz w:val="28"/>
          <w:szCs w:val="28"/>
          <w:lang w:val="az-Latn-AZ"/>
        </w:rPr>
        <w:t xml:space="preserve"> Access və Kapital bankın 2018-ci ildə maliyyə göstəricilərinin müqayisəsi</w:t>
      </w:r>
    </w:p>
    <w:p w:rsidR="008A2D08" w:rsidRPr="006B7E8B" w:rsidRDefault="008A2D08" w:rsidP="008A2D08">
      <w:pPr>
        <w:spacing w:before="24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noProof/>
          <w:sz w:val="28"/>
          <w:szCs w:val="28"/>
          <w:lang w:val="en-US"/>
        </w:rPr>
        <w:drawing>
          <wp:inline distT="0" distB="0" distL="0" distR="0" wp14:anchorId="4FFE877B" wp14:editId="72A049C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2D08" w:rsidRPr="00E167F2" w:rsidRDefault="008A2D08" w:rsidP="008A2D08">
      <w:pPr>
        <w:spacing w:before="240" w:line="360" w:lineRule="auto"/>
        <w:ind w:firstLine="708"/>
        <w:jc w:val="both"/>
        <w:rPr>
          <w:rFonts w:ascii="Times New Roman" w:hAnsi="Times New Roman" w:cs="Times New Roman"/>
          <w:sz w:val="24"/>
          <w:szCs w:val="28"/>
          <w:lang w:val="az-Latn-AZ"/>
        </w:rPr>
      </w:pPr>
      <w:r w:rsidRPr="00E167F2">
        <w:rPr>
          <w:rFonts w:ascii="Times New Roman" w:hAnsi="Times New Roman" w:cs="Times New Roman"/>
          <w:b/>
          <w:sz w:val="24"/>
          <w:szCs w:val="28"/>
          <w:lang w:val="az-Latn-AZ"/>
        </w:rPr>
        <w:t>Mənbə:</w:t>
      </w:r>
      <w:r w:rsidRPr="00E167F2">
        <w:rPr>
          <w:rFonts w:ascii="Times New Roman" w:hAnsi="Times New Roman" w:cs="Times New Roman"/>
          <w:sz w:val="24"/>
          <w:szCs w:val="28"/>
          <w:lang w:val="az-Latn-AZ"/>
        </w:rPr>
        <w:t xml:space="preserve"> Müəllif tərəfindən ümumilə</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dirilmi</w:t>
      </w:r>
      <w:r w:rsidR="007F7AC2" w:rsidRPr="00E167F2">
        <w:rPr>
          <w:rFonts w:ascii="Times New Roman" w:hAnsi="Times New Roman" w:cs="Times New Roman"/>
          <w:sz w:val="24"/>
          <w:szCs w:val="28"/>
          <w:lang w:val="az-Latn-AZ"/>
        </w:rPr>
        <w:t>ş</w:t>
      </w:r>
      <w:r w:rsidRPr="00E167F2">
        <w:rPr>
          <w:rFonts w:ascii="Times New Roman" w:hAnsi="Times New Roman" w:cs="Times New Roman"/>
          <w:sz w:val="24"/>
          <w:szCs w:val="28"/>
          <w:lang w:val="az-Latn-AZ"/>
        </w:rPr>
        <w:t>dir</w:t>
      </w:r>
    </w:p>
    <w:p w:rsidR="008A2D08" w:rsidRPr="006B7E8B" w:rsidRDefault="008A2D08" w:rsidP="008A2D08">
      <w:pPr>
        <w:spacing w:before="24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Qrafikdən də aydın göründüyü kimi, 2018 – ci ilin son aylarında Kapital bankın göstəriciləri Access bankın maliyyə göstəricilərindən xeyli yüksəkdir. Belə ki, Həmin ildə, Access bankın əsas kapitalı 45112,65 manat, ikinci dərəcəli kapitalı 15034,07 manat olduğu halda, Kapital bankın əsas kapitalı 248835 manat, ikinci dərəcəli kapitalı isə 118200 manat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 Bundan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qa qrafikdə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dırılan dəyərlərə əsasən aydın olur ki, cari ildə Access bankın mənfəəti 0.00 manat, Kapital bankın mənfəəti isə 98053 manat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dur. </w:t>
      </w:r>
    </w:p>
    <w:p w:rsidR="008A2D08" w:rsidRPr="006B7E8B" w:rsidRDefault="008A2D08" w:rsidP="008A2D08">
      <w:pPr>
        <w:spacing w:before="24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İki bankın mənfəət və zərər müqayisəsinə baxdıqda mövcud vəziyyə</w:t>
      </w:r>
      <w:r w:rsidR="00C40B77" w:rsidRPr="006B7E8B">
        <w:rPr>
          <w:rFonts w:ascii="Times New Roman" w:hAnsi="Times New Roman" w:cs="Times New Roman"/>
          <w:sz w:val="28"/>
          <w:szCs w:val="28"/>
          <w:lang w:val="az-Latn-AZ"/>
        </w:rPr>
        <w:t>t bariz görü</w:t>
      </w:r>
      <w:r w:rsidRPr="006B7E8B">
        <w:rPr>
          <w:rFonts w:ascii="Times New Roman" w:hAnsi="Times New Roman" w:cs="Times New Roman"/>
          <w:sz w:val="28"/>
          <w:szCs w:val="28"/>
          <w:lang w:val="az-Latn-AZ"/>
        </w:rPr>
        <w:t>nür. Qeyd olunan hesabat nəticələri və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dırmalara əsasən Access bankın böhran vəziyyətində olduğunu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 dü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ürük. Sözügedən böhranın e</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iyində olan Acces</w:t>
      </w:r>
      <w:r w:rsidR="00C40B77" w:rsidRPr="006B7E8B">
        <w:rPr>
          <w:rFonts w:ascii="Times New Roman" w:hAnsi="Times New Roman" w:cs="Times New Roman"/>
          <w:sz w:val="28"/>
          <w:szCs w:val="28"/>
          <w:lang w:val="az-Latn-AZ"/>
        </w:rPr>
        <w:t>s</w:t>
      </w:r>
      <w:r w:rsidRPr="006B7E8B">
        <w:rPr>
          <w:rFonts w:ascii="Times New Roman" w:hAnsi="Times New Roman" w:cs="Times New Roman"/>
          <w:sz w:val="28"/>
          <w:szCs w:val="28"/>
          <w:lang w:val="az-Latn-AZ"/>
        </w:rPr>
        <w:t xml:space="preserve"> bank rəhbərliyi, vəziyyətin ciddiliyini qəbul edib stress testlər və digər metodlarla bankın zəif nöqtələrini tapıb, risklərə dözümlülüyünü tez bir zamanda təmin etməzsə, ortada olan vəziyyətlə bank, fəaliyyətini uzun müddət davam etdirə bilməyib böhranın növbəti qurbanı olacaqdır.</w:t>
      </w:r>
    </w:p>
    <w:p w:rsidR="006E1097" w:rsidRPr="006B7E8B" w:rsidRDefault="006E1097" w:rsidP="006B7E8B">
      <w:pPr>
        <w:pStyle w:val="Heading1"/>
        <w:rPr>
          <w:rFonts w:ascii="Times New Roman" w:hAnsi="Times New Roman" w:cs="Times New Roman"/>
          <w:lang w:val="az-Latn-AZ"/>
        </w:rPr>
      </w:pPr>
      <w:bookmarkStart w:id="15" w:name="_Toc8806577"/>
      <w:bookmarkStart w:id="16" w:name="_Toc8806920"/>
      <w:r w:rsidRPr="006B7E8B">
        <w:rPr>
          <w:rFonts w:ascii="Times New Roman" w:hAnsi="Times New Roman" w:cs="Times New Roman"/>
          <w:lang w:val="az-Latn-AZ"/>
        </w:rPr>
        <w:t>FƏSIL 3. DEV</w:t>
      </w:r>
      <w:r w:rsidR="00452060" w:rsidRPr="006B7E8B">
        <w:rPr>
          <w:rFonts w:ascii="Times New Roman" w:hAnsi="Times New Roman" w:cs="Times New Roman"/>
          <w:lang w:val="az-Latn-AZ"/>
        </w:rPr>
        <w:t>ALVASIYA NƏTİCƏSINDƏ BANKLARIN FƏALİYYƏTİ</w:t>
      </w:r>
      <w:r w:rsidRPr="006B7E8B">
        <w:rPr>
          <w:rFonts w:ascii="Times New Roman" w:hAnsi="Times New Roman" w:cs="Times New Roman"/>
          <w:lang w:val="az-Latn-AZ"/>
        </w:rPr>
        <w:t>NDƏ YARANAN PROBLEMLƏRIN ARADAN QALDIRILMASI YOLLARI</w:t>
      </w:r>
      <w:bookmarkEnd w:id="15"/>
      <w:bookmarkEnd w:id="16"/>
    </w:p>
    <w:p w:rsidR="006E1097" w:rsidRPr="006B7E8B" w:rsidRDefault="006E1097" w:rsidP="006B7E8B">
      <w:pPr>
        <w:pStyle w:val="Heading2"/>
        <w:numPr>
          <w:ilvl w:val="1"/>
          <w:numId w:val="35"/>
        </w:numPr>
        <w:rPr>
          <w:lang w:val="az-Latn-AZ"/>
        </w:rPr>
      </w:pPr>
      <w:bookmarkStart w:id="17" w:name="_Toc8806578"/>
      <w:bookmarkStart w:id="18" w:name="_Toc8806921"/>
      <w:r w:rsidRPr="006B7E8B">
        <w:rPr>
          <w:lang w:val="az-Latn-AZ"/>
        </w:rPr>
        <w:t>Dev</w:t>
      </w:r>
      <w:r w:rsidR="00452060" w:rsidRPr="006B7E8B">
        <w:rPr>
          <w:lang w:val="az-Latn-AZ"/>
        </w:rPr>
        <w:t>a</w:t>
      </w:r>
      <w:r w:rsidRPr="006B7E8B">
        <w:rPr>
          <w:lang w:val="az-Latn-AZ"/>
        </w:rPr>
        <w:t>lvasiyanın bankların fəaliyyətinə təsirinin azaltma yolları və sağlamla</w:t>
      </w:r>
      <w:r w:rsidR="007F7AC2" w:rsidRPr="006B7E8B">
        <w:rPr>
          <w:lang w:val="az-Latn-AZ"/>
        </w:rPr>
        <w:t>ş</w:t>
      </w:r>
      <w:r w:rsidRPr="006B7E8B">
        <w:rPr>
          <w:lang w:val="az-Latn-AZ"/>
        </w:rPr>
        <w:t>dırma tədbirləri</w:t>
      </w:r>
      <w:bookmarkEnd w:id="17"/>
      <w:bookmarkEnd w:id="18"/>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 böhranının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lanğıcı öz əsasını bank sistemində böyük rolu olan bir neçə bankın ödəmə qabiliyyətində problemlərin yaranmasından götürür.Bank sisteminə vaxtında müdaxilə edilməməsi nəticəsində böhran sistemli xarakter ala bilər. Bank sisteminin böhrana girmə səbəbləri ölkələrin iqtisadiyyatıyla bağlı bir-birindən fərqlənir.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Bu barədə yuxarıda “Bank böhranının təhlili” mövzusunda danı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ıq. Maliyyə böhranının komponentlərinə nəzər salarkən qeyd etmi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dik ki, böhranı doğuran səbəblərdən biri bankın balansındakı pozuntulardır.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Digər səbəblər isə faiz dərəcələrində yüksəlmə, fond birjalarında çökü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və qeyri-müəyyənliyin artımı hallarıdır. Ümumiyyətlə, bank böhranları bazar iqtisadiyyatına xasdır.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Bank böhranlarının səbəbləri bilavasitə maliyyə sisteminin dövlətə və cəmiyyətə yüklədiyi maliyyə ağırlığı ilə bağlıdır.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Birlə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tatların ipoteka bazarından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layan və sonradan bütün dünyaya yayılan böhran ən iri həcmli böhran hesab edilir.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1975-2009-cu illər ərzində 54 bank böhranı qeydə alınıb.Bu böhranlar təkcə bank sektoruna deyil, həmin sektordan kənara çıxaraq real iqtisadiyyata da neqativ təsirlərini göstərdilər. Bank böhranının ləğvinə yönəldilən məsrəflər dünya üzrə orta hesabla ÜDM-in 15- 20%-nə bərabərdir.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Bu məsrəflər ölkələr üzrə bir-birindən fərqlənir. Bu göstərici bəzi ölkələrdə böyük olsa da, digərlərində çəkisinin az olması ilə seçilmi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 </w:t>
      </w:r>
      <w:r w:rsidRPr="006B7E8B">
        <w:rPr>
          <w:rStyle w:val="FootnoteReference"/>
          <w:rFonts w:ascii="Times New Roman" w:hAnsi="Times New Roman" w:cs="Times New Roman"/>
          <w:sz w:val="28"/>
          <w:szCs w:val="28"/>
          <w:lang w:val="az-Latn-AZ"/>
        </w:rPr>
        <w:footnoteReference w:id="11"/>
      </w:r>
      <w:r w:rsidRPr="006B7E8B">
        <w:rPr>
          <w:rFonts w:ascii="Times New Roman" w:hAnsi="Times New Roman" w:cs="Times New Roman"/>
          <w:sz w:val="28"/>
          <w:szCs w:val="28"/>
          <w:lang w:val="az-Latn-AZ"/>
        </w:rPr>
        <w:t>.</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Məsələn, İspaniyada, Macarıstanda bu göstərici ÜDM-in 15%-ni, Malayziyada 20.5%-ni, Meksikada 30%-dən yuxarı həddini tə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kil etmi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dir.Bəzi ölkələrdə bu göstərici ÜDM-in 40-50%-i səviyyəsində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dur.Rusiyada banklarda yeridilən antiböhran idarəetmə tədbirlərinə sərf edilən məsrəflər ÜDM-in 21.7%-ni tə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kil etmi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Böhran dövründə AB</w:t>
      </w:r>
      <w:r w:rsidR="00452060"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-da bank sferasında keçirilən antiböhran idarəetmə tədbirləri ÜDM-in 38.7%-i səviyyəsində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dur.Bu isə 5500 mlrd. dollar deməkdir.Avropa regionunda bank böhranlarının aradan qaldırılmasına yönəldilən məsrəflər ÜDM-in 23.4%-i həcminə çatmı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yə</w:t>
      </w:r>
      <w:r w:rsidR="00452060" w:rsidRPr="006B7E8B">
        <w:rPr>
          <w:rFonts w:ascii="Times New Roman" w:hAnsi="Times New Roman" w:cs="Times New Roman"/>
          <w:sz w:val="28"/>
          <w:szCs w:val="28"/>
          <w:lang w:val="az-Latn-AZ"/>
        </w:rPr>
        <w:t>ni 3285</w:t>
      </w:r>
      <w:r w:rsidRPr="006B7E8B">
        <w:rPr>
          <w:rFonts w:ascii="Times New Roman" w:hAnsi="Times New Roman" w:cs="Times New Roman"/>
          <w:sz w:val="28"/>
          <w:szCs w:val="28"/>
          <w:lang w:val="az-Latn-AZ"/>
        </w:rPr>
        <w:t>mlrd. dollar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dur.Ölkələr üzrə bank sektorunda antiböhran proqramının həyata keçirilməsi məsrəfləri bu cür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dur:Almaniya 500 mlrd. avro, Fransa 360 mlrd. avro, İrlandiya 400 mlrd. avro və s.</w:t>
      </w:r>
      <w:r w:rsidR="00452060"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BVF-nin hesablamaları göstərir ki, böhran nəticəsində bankların itkilərinin məbləği 1.6 trln. dollaradək arta bilər. Bank böhranlarının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ısının alınması istiqamətində ölkələrin aidiyyatı qurumları və</w:t>
      </w:r>
      <w:r w:rsidR="00452060" w:rsidRPr="006B7E8B">
        <w:rPr>
          <w:rFonts w:ascii="Times New Roman" w:hAnsi="Times New Roman" w:cs="Times New Roman"/>
          <w:sz w:val="28"/>
          <w:szCs w:val="28"/>
          <w:lang w:val="az-Latn-AZ"/>
        </w:rPr>
        <w:t xml:space="preserve"> m</w:t>
      </w:r>
      <w:r w:rsidRPr="006B7E8B">
        <w:rPr>
          <w:rFonts w:ascii="Times New Roman" w:hAnsi="Times New Roman" w:cs="Times New Roman"/>
          <w:sz w:val="28"/>
          <w:szCs w:val="28"/>
          <w:lang w:val="az-Latn-AZ"/>
        </w:rPr>
        <w:t>ərkəzi bankları bankların strukrur yenilənməsini və böhran əleyhinə idarəetmə siyasəti tədbirlərini həyata keçirirlər.</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 sisteminin struktur yenilənməsi və yeridilən antiböhran siyasətin istiqamətləri həmin ölkələrdəki konkret situasiyadan asılı olduğu üçün bank böhranlarının aradan qaldırılmasının ümumi strategiyası mövcud deyildir. Bank böhranlarının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vermə səbəbləri bir sıra ölkələrdə üst-üstə dü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sə də, digərlərində özünün spesifikasiyası ilə fərqlənir.Onların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ısının alınmasına yönələn tədbirlər bank böhranlarının konkret səbəblərindən dolayı müxtəlifdir.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Antiböhran tədbirlərinin banklara yönəlmi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istiqamətlərini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 adlar altında qrupla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dırmaq olar: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-sabitlə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dirici;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-kreditlə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dirmə;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-rekapitalizasiya və s.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Dövlətlərin bank sektorunda yaranmı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böhranları aradan qaldırmağa yönələn tədbirlərini belə ümumilə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dirə bilərik: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1.Dövlətin bank sektorunun likvidliyinin saxlanılması və bankların vasitəçilik funksiyalarının həyata keçirilməsinin bərpa edilməsinə yönələn antiböhran tədbirləri;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2.Dövlətin bank sektorunun strukturunda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ikliklər etməsi;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3.Dövlətin bank sistemini tənzimləməsi və nəzarət tədbirlərini həyata keçirməsi.</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Dövlətin bank sektorunda böhran əleyhinə idarəetmə siyasəti tətbiq etməsi ən əsas bankların ödəmə qabiliyyətlərinin bərpası ilə bağlıdır.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Dövlətin banklarda keçirdiyi böhran əleyhinə idarəetmə siyasətinin istiqamətləri özündə bank hesabla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malarının əvvəlki qaydada həyata keçirilməsinin bərpa edilməsini və bankların likvidliyinin təmin edilməsini əks etdirir.</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 sisteminin antiböhran tədbirlər proqramında ölkənin mövcud makroiqtisadi vəziyyəti, tədbirlərin icra müddəti və icraçıları dəqiq əks etdirilməlidir.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Bank sistemində həyata keçirilən təcili xilasetmə tədbirləri kimi bankların yenidən kapitalla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dırılmasını, banklarda sabit kredit xəttinin açılmasını, bankların balansını problemli aktivlərdən təmizləməklə onlara dövlət zəmanətinin verilməsini göstərmək olar. Böhran vədəsində bank sistemində stimulla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dırıcı siyasətin tətbiq olunması antiböhran tədbirlər paketinə daxil edilir.</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Belə ki, müasir böhran zamanı bank sistemini böhrandan yayındırmağın vacib addımlarından biri kimi məcburi ehtiyat normalarını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 salmaq xüsusilə təqdirə layiqdir. 21 fevral 2015-ci ildə </w:t>
      </w:r>
      <w:r w:rsidR="00655963" w:rsidRPr="006B7E8B">
        <w:rPr>
          <w:rFonts w:ascii="Times New Roman" w:hAnsi="Times New Roman" w:cs="Times New Roman"/>
          <w:sz w:val="28"/>
          <w:szCs w:val="28"/>
          <w:lang w:val="az-Latn-AZ"/>
        </w:rPr>
        <w:t>ölkəmizdə</w:t>
      </w:r>
      <w:r w:rsidRPr="006B7E8B">
        <w:rPr>
          <w:rFonts w:ascii="Times New Roman" w:hAnsi="Times New Roman" w:cs="Times New Roman"/>
          <w:sz w:val="28"/>
          <w:szCs w:val="28"/>
          <w:lang w:val="az-Latn-AZ"/>
        </w:rPr>
        <w:t xml:space="preserve"> manatın devalvasiyası oldu.</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Devalvasiyanın səbəbi kimi əsas neft istehlakçısı ölkələrində artımın azalması ucbatından neftin qiymətinin 2014-cü ildən bəri 3 dəfəyə qədər enməsini qeyd edirlər.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Nəticədə ölkəyə valyuta daxilolmaları azalmı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Bu zaman manatın məzənnəsini qoruyub saxlamaq çətinlə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21 dekabr 2015-ci ildə olan növbəti devalvasiyadan sonra manat üzən məzənnə rejiminə keçmi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 Devalvasiya nəticəsində bir sıra problemlər meydana çıxmı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w:t>
      </w:r>
      <w:r w:rsidR="00655963" w:rsidRPr="006B7E8B">
        <w:rPr>
          <w:rFonts w:ascii="Times New Roman" w:hAnsi="Times New Roman" w:cs="Times New Roman"/>
          <w:sz w:val="28"/>
          <w:szCs w:val="28"/>
          <w:lang w:val="az-Latn-AZ"/>
        </w:rPr>
        <w:t xml:space="preserve">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Devalvasiyadan sonra xarici valyuta ilə götürülən kreditlərin qaytarılması çətinlə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Kredit istehlakçılarının borclarını geri qaytarmasında bir sıra problemlər yaranmı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Banklara birba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 təsir göstərən bütün neqativ hallar onlarda riskli kreditlərin artmasına və aktivlərin pislə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məsinə səbəb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 Bütün qeyd olunanlar bank sektorunda ciddi islahatların aparılmasını tələb edir.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Banklarda zəruri böhran əleyhinə tədbirlərin tətbiqi nəticəsində əhalinin əmanətlərinin təhlükəsizliyi təmin edilməli, maliyyə dayanıqlığına nail olunmalı, likvidlik mövqeyi gücləndirilməlidir. Devalvasiyanın təsirinin nəticəsi olaraq bankların aktivləri</w:t>
      </w:r>
      <w:r w:rsidR="00F84306" w:rsidRPr="006B7E8B">
        <w:rPr>
          <w:rFonts w:ascii="Times New Roman" w:hAnsi="Times New Roman" w:cs="Times New Roman"/>
          <w:sz w:val="28"/>
          <w:szCs w:val="28"/>
          <w:lang w:val="az-Latn-AZ"/>
        </w:rPr>
        <w:t>nin səviyyəsinin</w:t>
      </w:r>
      <w:r w:rsidRPr="006B7E8B">
        <w:rPr>
          <w:rFonts w:ascii="Times New Roman" w:hAnsi="Times New Roman" w:cs="Times New Roman"/>
          <w:sz w:val="28"/>
          <w:szCs w:val="28"/>
          <w:lang w:val="az-Latn-AZ"/>
        </w:rPr>
        <w:t xml:space="preserve"> </w:t>
      </w:r>
      <w:r w:rsidR="00F84306" w:rsidRPr="006B7E8B">
        <w:rPr>
          <w:rFonts w:ascii="Times New Roman" w:hAnsi="Times New Roman" w:cs="Times New Roman"/>
          <w:sz w:val="28"/>
          <w:szCs w:val="28"/>
          <w:lang w:val="az-Latn-AZ"/>
        </w:rPr>
        <w:t>aşağı düşməsi səbəbi ilə</w:t>
      </w:r>
      <w:r w:rsidRPr="006B7E8B">
        <w:rPr>
          <w:rFonts w:ascii="Times New Roman" w:hAnsi="Times New Roman" w:cs="Times New Roman"/>
          <w:sz w:val="28"/>
          <w:szCs w:val="28"/>
          <w:lang w:val="az-Latn-AZ"/>
        </w:rPr>
        <w:t>, onlar öhdəliklərini icra etmək çətinliyi ilə üzlə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iblər.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Banklar həm xarici borcların, həm də əmanətlərin qaytarılması problemləri ilə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ıblar</w:t>
      </w:r>
      <w:r w:rsidRPr="006B7E8B">
        <w:rPr>
          <w:rStyle w:val="FootnoteReference"/>
          <w:rFonts w:ascii="Times New Roman" w:hAnsi="Times New Roman" w:cs="Times New Roman"/>
          <w:sz w:val="28"/>
          <w:szCs w:val="28"/>
          <w:lang w:val="az-Latn-AZ"/>
        </w:rPr>
        <w:footnoteReference w:id="12"/>
      </w:r>
      <w:r w:rsidRPr="006B7E8B">
        <w:rPr>
          <w:rFonts w:ascii="Times New Roman" w:hAnsi="Times New Roman" w:cs="Times New Roman"/>
          <w:sz w:val="28"/>
          <w:szCs w:val="28"/>
          <w:lang w:val="az-Latn-AZ"/>
        </w:rPr>
        <w:t>.</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Müasir günümüzdə bank sektorunda dünya təcrübəsində tətbiq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2 əsas antiböhran mexanizmindən istifadə olunur: </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-əmanətlərə dövlət zəmanətinin verilməsi;</w:t>
      </w:r>
    </w:p>
    <w:p w:rsidR="006E1097" w:rsidRPr="006B7E8B" w:rsidRDefault="006E1097" w:rsidP="006E1097">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-zərərli aktivlərin dövlət tərəfindən sağlamla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dırılması. </w:t>
      </w:r>
    </w:p>
    <w:p w:rsidR="00973A03" w:rsidRPr="006B7E8B" w:rsidRDefault="006E1097" w:rsidP="00973A03">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Böhran zamanı dünya ölkələri kimi respublikamız da bank sektoru üçün xilasedici proqramlar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ləyib hazırlayır.</w:t>
      </w:r>
      <w:r w:rsidR="00655963"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Müasir dövrdə bank sferasında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ağıdakı tədbirlərin tətbiq edilməsi müsbət səmərəsini verə bilər: </w:t>
      </w:r>
    </w:p>
    <w:p w:rsidR="00655963" w:rsidRPr="006B7E8B" w:rsidRDefault="006E1097" w:rsidP="00973A03">
      <w:pPr>
        <w:pStyle w:val="ListParagraph"/>
        <w:numPr>
          <w:ilvl w:val="0"/>
          <w:numId w:val="24"/>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Dövlətin müvəqqəti olaraq bank səhmlərində payçı qismində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tirak etməsi; </w:t>
      </w:r>
    </w:p>
    <w:p w:rsidR="00973A03" w:rsidRPr="006B7E8B" w:rsidRDefault="006E1097" w:rsidP="00973A03">
      <w:pPr>
        <w:pStyle w:val="ListParagraph"/>
        <w:numPr>
          <w:ilvl w:val="0"/>
          <w:numId w:val="24"/>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Dövlət tərəfindən banklara yardım və güzə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t paketinin təqdim edilmə</w:t>
      </w:r>
      <w:r w:rsidR="00973A03" w:rsidRPr="006B7E8B">
        <w:rPr>
          <w:rFonts w:ascii="Times New Roman" w:hAnsi="Times New Roman" w:cs="Times New Roman"/>
          <w:sz w:val="28"/>
          <w:szCs w:val="28"/>
          <w:lang w:val="az-Latn-AZ"/>
        </w:rPr>
        <w:t xml:space="preserve">si; </w:t>
      </w:r>
    </w:p>
    <w:p w:rsidR="00655963" w:rsidRPr="006B7E8B" w:rsidRDefault="006E1097" w:rsidP="00973A03">
      <w:pPr>
        <w:pStyle w:val="ListParagraph"/>
        <w:numPr>
          <w:ilvl w:val="0"/>
          <w:numId w:val="24"/>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Bankların xarici maliyyə mənbələrindən cəlb etdikləri kreditlərə dövlət zəmanətinin verilməsi; </w:t>
      </w:r>
    </w:p>
    <w:p w:rsidR="00973A03" w:rsidRPr="006B7E8B" w:rsidRDefault="006E1097" w:rsidP="00973A03">
      <w:pPr>
        <w:pStyle w:val="ListParagraph"/>
        <w:numPr>
          <w:ilvl w:val="0"/>
          <w:numId w:val="24"/>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Milli valyutada cəlb edilmi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əmanətlərin sığortalanma faizlərinin yüksəldilməsi; </w:t>
      </w:r>
    </w:p>
    <w:p w:rsidR="00973A03" w:rsidRPr="006B7E8B" w:rsidRDefault="006E1097" w:rsidP="00973A03">
      <w:pPr>
        <w:pStyle w:val="ListParagraph"/>
        <w:numPr>
          <w:ilvl w:val="0"/>
          <w:numId w:val="24"/>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Əmanətlərin devalvasiyadan qorunması üçün indeksasiya sisteminin tətbiq olunması. </w:t>
      </w:r>
    </w:p>
    <w:p w:rsidR="006E1097" w:rsidRPr="006B7E8B" w:rsidRDefault="006E1097" w:rsidP="00973A03">
      <w:pPr>
        <w:autoSpaceDE w:val="0"/>
        <w:autoSpaceDN w:val="0"/>
        <w:adjustRightInd w:val="0"/>
        <w:spacing w:after="0" w:line="360" w:lineRule="auto"/>
        <w:ind w:firstLine="709"/>
        <w:contextualSpacing/>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Göstərilən istiqamətlərdə tədbirlərin görülməsi bank sektorunu böhranın neqativ təsirlərindən yayındıraraq əvvəlki vəziyyətinə qaytara bilər.</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Dünyanın müxtəlif dövrlərdə infl</w:t>
      </w:r>
      <w:r w:rsidR="00973A03" w:rsidRPr="006B7E8B">
        <w:rPr>
          <w:rFonts w:ascii="Times New Roman" w:hAnsi="Times New Roman" w:cs="Times New Roman"/>
          <w:sz w:val="28"/>
          <w:szCs w:val="28"/>
          <w:lang w:val="az-Latn-AZ"/>
        </w:rPr>
        <w:t>y</w:t>
      </w:r>
      <w:r w:rsidRPr="006B7E8B">
        <w:rPr>
          <w:rFonts w:ascii="Times New Roman" w:hAnsi="Times New Roman" w:cs="Times New Roman"/>
          <w:sz w:val="28"/>
          <w:szCs w:val="28"/>
          <w:lang w:val="az-Latn-AZ"/>
        </w:rPr>
        <w:t>asiya ilə mübarizə təcrübəsinə nəzər salsaq, xüsusilə də bu prosesin XX əsrdən etibarən inkişaf etmiş ölkələrdə qiymətlərin yüksəlməsindən sonra baş verdiyini söyləyə bilərik. Bu dövrdə Qərb ölkələrində devalvasiya  səviyyəsinin digər ölkələrdən fərqli olaraq nisbətən aşağı səviyyəsi də olmasına baxmayaraq, ümumilikdə bu proses həmin ölkələrdə bir çox məsələlərlə yanaşı, iqtisadi artıma və milli iqtisadiyyatlarına böyük təsir göstərmişdir. Buna müvafiq olaraq da artıq 70-ci və 80-ci illərin əvvəllərindən etibarən inkişaf etmiş ölkələrdə devalvasiya nın aradan qaldırılması ilə əlaqədar antidevalvasiya  tədbirlərinin kütləvi şəkildə yerinə yetirməsi prosesi başlandı. Dünyanın devalvasiya  qarşı mübarizə tədbirlərini müxtəlif dövlətlərdə, o dövrdə baş verən devalvasiya  və buna qarşı mübarizə vasitələrinin bu ölkələr üzrə təhlil edərək izah edə bilərik.</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Tarixdə</w:t>
      </w:r>
      <w:r w:rsidR="00973A03" w:rsidRPr="006B7E8B">
        <w:rPr>
          <w:rFonts w:ascii="Times New Roman" w:hAnsi="Times New Roman" w:cs="Times New Roman"/>
          <w:sz w:val="28"/>
          <w:szCs w:val="28"/>
          <w:lang w:val="az-Latn-AZ"/>
        </w:rPr>
        <w:t xml:space="preserve"> ilk devalvasiya</w:t>
      </w:r>
      <w:r w:rsidRPr="006B7E8B">
        <w:rPr>
          <w:rFonts w:ascii="Times New Roman" w:hAnsi="Times New Roman" w:cs="Times New Roman"/>
          <w:sz w:val="28"/>
          <w:szCs w:val="28"/>
          <w:lang w:val="az-Latn-AZ"/>
        </w:rPr>
        <w:t>nın baş verdiyi dövr və ölkə</w:t>
      </w:r>
      <w:r w:rsidR="00446D9D" w:rsidRPr="006B7E8B">
        <w:rPr>
          <w:rFonts w:ascii="Times New Roman" w:hAnsi="Times New Roman" w:cs="Times New Roman"/>
          <w:sz w:val="28"/>
          <w:szCs w:val="28"/>
          <w:lang w:val="az-Latn-AZ"/>
        </w:rPr>
        <w:t xml:space="preserve"> olaraq Fransanı</w:t>
      </w:r>
      <w:r w:rsidRPr="006B7E8B">
        <w:rPr>
          <w:rFonts w:ascii="Times New Roman" w:hAnsi="Times New Roman" w:cs="Times New Roman"/>
          <w:sz w:val="28"/>
          <w:szCs w:val="28"/>
          <w:lang w:val="az-Latn-AZ"/>
        </w:rPr>
        <w:t xml:space="preserve"> misal göstərə bilərik. Bunun əsas səbəbi XVIII əsrdə baş verən inqilablar və daxildəki siyasi böhranlar olmuşdur. Belə ki, XIII əsrin ortalarından Fransada qiymət artımına o qədər də hiss edilməsə də, 1796-cı ildən etibarən vəziyyət tamamilə dəyişmiş və qiymət yüksəlişləri hətta. 300% səviyyəsinə çatmışdır. Bu isə Fransanın milli pul vahidi</w:t>
      </w:r>
      <w:r w:rsidR="00F84306" w:rsidRPr="006B7E8B">
        <w:rPr>
          <w:rFonts w:ascii="Times New Roman" w:hAnsi="Times New Roman" w:cs="Times New Roman"/>
          <w:sz w:val="28"/>
          <w:szCs w:val="28"/>
          <w:lang w:val="az-Latn-AZ"/>
        </w:rPr>
        <w:t>nin</w:t>
      </w:r>
      <w:r w:rsidRPr="006B7E8B">
        <w:rPr>
          <w:rFonts w:ascii="Times New Roman" w:hAnsi="Times New Roman" w:cs="Times New Roman"/>
          <w:sz w:val="28"/>
          <w:szCs w:val="28"/>
          <w:lang w:val="az-Latn-AZ"/>
        </w:rPr>
        <w:t xml:space="preserve"> bu illər ərzində dəyərini 2 dəfə itirilməsinə və nəticə etibarı ilə pul kütləsinin dövriyyəyə daha çox buraxılmasına səbəb olmuşdur. Dövriyyəyə daha çox pul kütləsinin buraxılması isə öz növbəsində qiymətlərin səviyyəsinin qaldırılmasına və belə olduqda isə</w:t>
      </w:r>
      <w:r w:rsidR="00973A03" w:rsidRPr="006B7E8B">
        <w:rPr>
          <w:rFonts w:ascii="Times New Roman" w:hAnsi="Times New Roman" w:cs="Times New Roman"/>
          <w:sz w:val="28"/>
          <w:szCs w:val="28"/>
          <w:lang w:val="az-Latn-AZ"/>
        </w:rPr>
        <w:t xml:space="preserve"> davamlı formada devalvasiya</w:t>
      </w:r>
      <w:r w:rsidRPr="006B7E8B">
        <w:rPr>
          <w:rFonts w:ascii="Times New Roman" w:hAnsi="Times New Roman" w:cs="Times New Roman"/>
          <w:sz w:val="28"/>
          <w:szCs w:val="28"/>
          <w:lang w:val="az-Latn-AZ"/>
        </w:rPr>
        <w:t>nın yaranmasına və yüksəlişinə gətirib çıxarmışdır. Fransada devalvasiya  2-ci dünya müharibəsindən sonra yenidən özünün ən yüksək həddinə çatmışdır. Bunun əsas səbəbi kimi isə hərbi xərcləri və ümumilikdə dövlət büdcə kəsirinin olması ilə əlaqəli formalaşan problemlər və milli pul vahidinin bir il ərzində 2 dəfə devalvasiyaya uğraması kimi göstərilirdi. Baş verən bu hadisələri səbəbi ilə Fransa hökuməti devalvasiya  qarşı mübarizə tədbirləri ilə əlaqədar sabitləşdirmə planı elan edərək əmə</w:t>
      </w:r>
      <w:r w:rsidR="00446D9D" w:rsidRPr="006B7E8B">
        <w:rPr>
          <w:rFonts w:ascii="Times New Roman" w:hAnsi="Times New Roman" w:cs="Times New Roman"/>
          <w:sz w:val="28"/>
          <w:szCs w:val="28"/>
          <w:lang w:val="az-Latn-AZ"/>
        </w:rPr>
        <w:t>k haqqı</w:t>
      </w:r>
      <w:r w:rsidRPr="006B7E8B">
        <w:rPr>
          <w:rFonts w:ascii="Times New Roman" w:hAnsi="Times New Roman" w:cs="Times New Roman"/>
          <w:sz w:val="28"/>
          <w:szCs w:val="28"/>
          <w:lang w:val="az-Latn-AZ"/>
        </w:rPr>
        <w:t xml:space="preserve">, pərakəndə qiymətlər və bir sıra məsələlərlə əlaqədar tədbirlər gördü. Büdcə kəsirinin azaldılması üçün isə vergiləri əhəmiyyətli dərəcədə artırılması, hərbi xərclərin azaldılması ixracını daha da artırılmasını nəzərdə tutan sağlamlaşdırma planlarının tətbiq etdi </w:t>
      </w:r>
      <w:r w:rsidRPr="006B7E8B">
        <w:rPr>
          <w:rFonts w:ascii="Times New Roman" w:hAnsi="Times New Roman" w:cs="Times New Roman"/>
          <w:sz w:val="28"/>
          <w:szCs w:val="28"/>
          <w:vertAlign w:val="superscript"/>
          <w:lang w:val="az-Latn-AZ"/>
        </w:rPr>
        <w:footnoteReference w:id="13"/>
      </w:r>
      <w:r w:rsidRPr="006B7E8B">
        <w:rPr>
          <w:rFonts w:ascii="Times New Roman" w:hAnsi="Times New Roman" w:cs="Times New Roman"/>
          <w:sz w:val="28"/>
          <w:szCs w:val="28"/>
          <w:lang w:val="az-Latn-AZ"/>
        </w:rPr>
        <w:t>.</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Tarixdə Amerikada baş verən devalvasiya  da əsasən silah və hərbiləşdirilmə ilə əlaqədar olmuşdur. Bununla yanaşı, əmtəə istehsalının artımının pul kütləsinin artımından geridə</w:t>
      </w:r>
      <w:r w:rsidR="00446D9D" w:rsidRPr="006B7E8B">
        <w:rPr>
          <w:rFonts w:ascii="Times New Roman" w:hAnsi="Times New Roman" w:cs="Times New Roman"/>
          <w:sz w:val="28"/>
          <w:szCs w:val="28"/>
          <w:lang w:val="az-Latn-AZ"/>
        </w:rPr>
        <w:t xml:space="preserve"> qalması, devalvasiya</w:t>
      </w:r>
      <w:r w:rsidRPr="006B7E8B">
        <w:rPr>
          <w:rFonts w:ascii="Times New Roman" w:hAnsi="Times New Roman" w:cs="Times New Roman"/>
          <w:sz w:val="28"/>
          <w:szCs w:val="28"/>
          <w:lang w:val="az-Latn-AZ"/>
        </w:rPr>
        <w:t>nın xarakteri daşıyırdı. Belə ki, XX əsrin ortalarında nəğd pul kütləsi 45% təşkil etdiyi halda, pərakəndə əmtəə dövriyyəsi sadəcə 27% artmışdı. Amerikada müxtəlif illər ərzində</w:t>
      </w:r>
      <w:r w:rsidR="00446D9D" w:rsidRPr="006B7E8B">
        <w:rPr>
          <w:rFonts w:ascii="Times New Roman" w:hAnsi="Times New Roman" w:cs="Times New Roman"/>
          <w:sz w:val="28"/>
          <w:szCs w:val="28"/>
          <w:lang w:val="az-Latn-AZ"/>
        </w:rPr>
        <w:t xml:space="preserve"> devalvasiya</w:t>
      </w:r>
      <w:r w:rsidRPr="006B7E8B">
        <w:rPr>
          <w:rFonts w:ascii="Times New Roman" w:hAnsi="Times New Roman" w:cs="Times New Roman"/>
          <w:sz w:val="28"/>
          <w:szCs w:val="28"/>
          <w:lang w:val="az-Latn-AZ"/>
        </w:rPr>
        <w:t xml:space="preserve">nın baş verməsinin digər dövlətlərdən fərqi ondan ibarət idi ki, burada dolların əmtəələrə münasibətdə dəyərdən düşməsi, qızıl tutumluluğunun azalması ilə müşayiət olunmamışdır. Lakin baş verən bütün proseslərin nəzdində Amerikada devalvasiya  ilə mübarizə tədbirləri onun nəticə etibarilə səviyyəsinin aşağı düşməsinə gətirib çıxarmışdır. </w:t>
      </w:r>
    </w:p>
    <w:p w:rsidR="007F7AC2" w:rsidRPr="006B7E8B" w:rsidRDefault="00973A03"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w:t>
      </w:r>
      <w:r w:rsidR="007F7AC2" w:rsidRPr="006B7E8B">
        <w:rPr>
          <w:rFonts w:ascii="Times New Roman" w:hAnsi="Times New Roman" w:cs="Times New Roman"/>
          <w:sz w:val="28"/>
          <w:szCs w:val="28"/>
          <w:lang w:val="az-Latn-AZ"/>
        </w:rPr>
        <w:t>kinci dünya müharibəsində</w:t>
      </w:r>
      <w:r w:rsidRPr="006B7E8B">
        <w:rPr>
          <w:rFonts w:ascii="Times New Roman" w:hAnsi="Times New Roman" w:cs="Times New Roman"/>
          <w:sz w:val="28"/>
          <w:szCs w:val="28"/>
          <w:lang w:val="az-Latn-AZ"/>
        </w:rPr>
        <w:t>n sonra İ</w:t>
      </w:r>
      <w:r w:rsidR="007F7AC2" w:rsidRPr="006B7E8B">
        <w:rPr>
          <w:rFonts w:ascii="Times New Roman" w:hAnsi="Times New Roman" w:cs="Times New Roman"/>
          <w:sz w:val="28"/>
          <w:szCs w:val="28"/>
          <w:lang w:val="az-Latn-AZ"/>
        </w:rPr>
        <w:t>ngiltərədə sənayecə inkişaf etmiş bir ölkə kimi sürətli devalvasiya  tempi müşahidə olunmuşdur. Xüsusilə də 1950-1960-ci illərdə pərakəndə qiymətlər il ərzində 4.2%, 1970-1980-ci illərdə isə. 13.4% artmışdır. Ingiltərədə</w:t>
      </w:r>
      <w:r w:rsidRPr="006B7E8B">
        <w:rPr>
          <w:rFonts w:ascii="Times New Roman" w:hAnsi="Times New Roman" w:cs="Times New Roman"/>
          <w:sz w:val="28"/>
          <w:szCs w:val="28"/>
          <w:lang w:val="az-Latn-AZ"/>
        </w:rPr>
        <w:t xml:space="preserve"> devalvasiya</w:t>
      </w:r>
      <w:r w:rsidR="007F7AC2" w:rsidRPr="006B7E8B">
        <w:rPr>
          <w:rFonts w:ascii="Times New Roman" w:hAnsi="Times New Roman" w:cs="Times New Roman"/>
          <w:sz w:val="28"/>
          <w:szCs w:val="28"/>
          <w:lang w:val="az-Latn-AZ"/>
        </w:rPr>
        <w:t>nın yaranma səbəbləri əsasən istehsal sahəsi ilə əlaqələndirilirdi. Ümumilikdə devalvasiya  qarşı mübarizə məsələlərində</w:t>
      </w:r>
      <w:r w:rsidRPr="006B7E8B">
        <w:rPr>
          <w:rFonts w:ascii="Times New Roman" w:hAnsi="Times New Roman" w:cs="Times New Roman"/>
          <w:sz w:val="28"/>
          <w:szCs w:val="28"/>
          <w:lang w:val="az-Latn-AZ"/>
        </w:rPr>
        <w:t xml:space="preserve"> İ</w:t>
      </w:r>
      <w:r w:rsidR="007F7AC2" w:rsidRPr="006B7E8B">
        <w:rPr>
          <w:rFonts w:ascii="Times New Roman" w:hAnsi="Times New Roman" w:cs="Times New Roman"/>
          <w:sz w:val="28"/>
          <w:szCs w:val="28"/>
          <w:lang w:val="az-Latn-AZ"/>
        </w:rPr>
        <w:t>ngiltərə Bankı müxtə</w:t>
      </w:r>
      <w:r w:rsidRPr="006B7E8B">
        <w:rPr>
          <w:rFonts w:ascii="Times New Roman" w:hAnsi="Times New Roman" w:cs="Times New Roman"/>
          <w:sz w:val="28"/>
          <w:szCs w:val="28"/>
          <w:lang w:val="az-Latn-AZ"/>
        </w:rPr>
        <w:t>lif üsullar</w:t>
      </w:r>
      <w:r w:rsidR="007F7AC2" w:rsidRPr="006B7E8B">
        <w:rPr>
          <w:rFonts w:ascii="Times New Roman" w:hAnsi="Times New Roman" w:cs="Times New Roman"/>
          <w:sz w:val="28"/>
          <w:szCs w:val="28"/>
          <w:lang w:val="az-Latn-AZ"/>
        </w:rPr>
        <w:t xml:space="preserve">dan istifadə edirdi. Bu üsulları, nağd pul kredit siyasətinin tənzimlənməsində neokeynçilik yanaşmasından istifadə də aid edir. Buna müvafiq olaraq pul kredit siyasətinin 3 metoduna üstünlük verilirdi. Bunlar aşağıdakılardan ibarətdir : </w:t>
      </w:r>
    </w:p>
    <w:p w:rsidR="007F7AC2" w:rsidRPr="006B7E8B" w:rsidRDefault="007F7AC2" w:rsidP="007F7AC2">
      <w:pPr>
        <w:numPr>
          <w:ilvl w:val="0"/>
          <w:numId w:val="13"/>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Ingiltərə Bankının faiz dərəcəsi ilə əlaqədar həyata keçirdiyi tədbirlər ; </w:t>
      </w:r>
    </w:p>
    <w:p w:rsidR="007F7AC2" w:rsidRPr="006B7E8B" w:rsidRDefault="007F7AC2" w:rsidP="007F7AC2">
      <w:pPr>
        <w:numPr>
          <w:ilvl w:val="0"/>
          <w:numId w:val="13"/>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Özəl sektora verilən borcların tətbiqinə nəzarət üzrə birbaşa nəzarət metodlardan istifadə edilməsi ; </w:t>
      </w:r>
    </w:p>
    <w:p w:rsidR="007F7AC2" w:rsidRPr="006B7E8B" w:rsidRDefault="007F7AC2" w:rsidP="007F7AC2">
      <w:pPr>
        <w:numPr>
          <w:ilvl w:val="0"/>
          <w:numId w:val="13"/>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Xüsusi depozitlərin normalarının dəyişdirilməsi ;</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XX əsrin sonunda Rusiyanın iqtisadi həyatında nağd maliyyə ili sabitləşməsindən və iqtisadiyyatından devalvasiya  proseslərinin xarakterizə olduğu və yüksək qiymət artımının müşahidə olunduğu bir dövrü əhatə etmişdir. Bu artım ilin sonuna doğru daha da artmış və 60%-ə çatmışdır. Inflyasiyanın Rusiya iqtisadiyyatından geri qayıtmasından və ümumilikdə bu kredit sisteminin və bütün strukturlar üzrə mənfi nəticələrin meydana gəlməsindən, ölkədə xarici investisiya qoyuluşlarının azalmasına səbəb olmuş</w:t>
      </w:r>
      <w:r w:rsidR="00A12AE3" w:rsidRPr="006B7E8B">
        <w:rPr>
          <w:rFonts w:ascii="Times New Roman" w:hAnsi="Times New Roman" w:cs="Times New Roman"/>
          <w:sz w:val="28"/>
          <w:szCs w:val="28"/>
          <w:lang w:val="az-Latn-AZ"/>
        </w:rPr>
        <w:t>dur. İ</w:t>
      </w:r>
      <w:r w:rsidRPr="006B7E8B">
        <w:rPr>
          <w:rFonts w:ascii="Times New Roman" w:hAnsi="Times New Roman" w:cs="Times New Roman"/>
          <w:sz w:val="28"/>
          <w:szCs w:val="28"/>
          <w:lang w:val="az-Latn-AZ"/>
        </w:rPr>
        <w:t xml:space="preserve">nflyasiyanın aradan qaldırması ilə əlaqədar həyata keçirilən islahatların əsas məqsədi ümumilikdə iqtisadiyyatın dövlət tənzimlənməsində problemlər də pul mexanizminin transformasiyası ilə əlaqədar idi. Lakin buna baxmayaraq 1992-1997- ci ilə orda həyata keçirilən antidevalvasiya  siyasəti ümumilikdə təsərrüfat əlaqələri üzrə barter rolunun artırılmasından, pul kütləsinin məhdudlaşdırılması və bunun vasitəsilə ödəmələrin kluba artımından həmçinin istehsalın aşağı düşməsi səbəb olmuşdur. </w:t>
      </w:r>
    </w:p>
    <w:p w:rsidR="007F7AC2" w:rsidRPr="006B7E8B" w:rsidRDefault="00A12AE3"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Ukraynada devalvasiya</w:t>
      </w:r>
      <w:r w:rsidR="007F7AC2" w:rsidRPr="006B7E8B">
        <w:rPr>
          <w:rFonts w:ascii="Times New Roman" w:hAnsi="Times New Roman" w:cs="Times New Roman"/>
          <w:sz w:val="28"/>
          <w:szCs w:val="28"/>
          <w:lang w:val="az-Latn-AZ"/>
        </w:rPr>
        <w:t>nın yaranması səbəbi kimi gənc ölkədə fəaliyyət göstərən özəl müəssisələrin maliyyə təsərrüfat fəaliyyəti üzərində nəzarətin zəif olması və bunun nəticə etibarilə qiymətinin artımı devalvasiya ya gətirib çıxarması olub. Buna müvafiq olaraq qeyd etmək lazımdır ki, hər ölkə iqtisadiyyatını effektiv şəkildə fəaliyyətinin əsasa onun maliyyə vəziyyəti ilə qarşılıqlı surətdə əlaqəlidir. Elə buna görə də hər bir ölkədə, maliyyə kredit sisteminin və maliyyə vəziyyətinin sabitliyinin əldə edilməsi devalvasiya  səviyyəsində təhlükəsiz həddə olmasına birbaşa təs</w:t>
      </w:r>
      <w:r w:rsidRPr="006B7E8B">
        <w:rPr>
          <w:rFonts w:ascii="Times New Roman" w:hAnsi="Times New Roman" w:cs="Times New Roman"/>
          <w:sz w:val="28"/>
          <w:szCs w:val="28"/>
          <w:lang w:val="az-Latn-AZ"/>
        </w:rPr>
        <w:t xml:space="preserve">ir edir. Ukraynada devalvasiya </w:t>
      </w:r>
      <w:r w:rsidR="007F7AC2" w:rsidRPr="006B7E8B">
        <w:rPr>
          <w:rFonts w:ascii="Times New Roman" w:hAnsi="Times New Roman" w:cs="Times New Roman"/>
          <w:sz w:val="28"/>
          <w:szCs w:val="28"/>
          <w:lang w:val="az-Latn-AZ"/>
        </w:rPr>
        <w:t xml:space="preserve"> 1993-cü ildən etibarən daha yüksək səviyyədə olmuşdur. Ümumilikdə, bu ölkə üzrə baş verən devalvasiya  amillərinə aşağıdakılar səbəb olmuşdur </w:t>
      </w:r>
      <w:r w:rsidR="007F7AC2" w:rsidRPr="006B7E8B">
        <w:rPr>
          <w:rFonts w:ascii="Times New Roman" w:hAnsi="Times New Roman" w:cs="Times New Roman"/>
          <w:sz w:val="28"/>
          <w:szCs w:val="28"/>
          <w:vertAlign w:val="superscript"/>
          <w:lang w:val="az-Latn-AZ"/>
        </w:rPr>
        <w:footnoteReference w:id="14"/>
      </w:r>
      <w:r w:rsidR="007F7AC2" w:rsidRPr="006B7E8B">
        <w:rPr>
          <w:rFonts w:ascii="Times New Roman" w:hAnsi="Times New Roman" w:cs="Times New Roman"/>
          <w:sz w:val="28"/>
          <w:szCs w:val="28"/>
          <w:lang w:val="az-Latn-AZ"/>
        </w:rPr>
        <w:t xml:space="preserve">: </w:t>
      </w:r>
    </w:p>
    <w:p w:rsidR="007F7AC2" w:rsidRPr="006B7E8B" w:rsidRDefault="007F7AC2"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Enerjidaşıyıcılarının qiymətlərinin artırılması; </w:t>
      </w:r>
    </w:p>
    <w:p w:rsidR="007F7AC2" w:rsidRPr="006B7E8B" w:rsidRDefault="007F7AC2"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Xammalın, materialların qiymətinin artırılması; </w:t>
      </w:r>
    </w:p>
    <w:p w:rsidR="007F7AC2" w:rsidRPr="006B7E8B" w:rsidRDefault="007F7AC2"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Zərərlə işləyən müəssisələrin başa kreditləşmənin tətbiqi nəticəsində nağdsız dövriyyənin artımı artımı;</w:t>
      </w:r>
    </w:p>
    <w:p w:rsidR="007F7AC2" w:rsidRPr="006B7E8B" w:rsidRDefault="007F7AC2" w:rsidP="007F7AC2">
      <w:pPr>
        <w:numPr>
          <w:ilvl w:val="0"/>
          <w:numId w:val="15"/>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Sənaye istehsalının müxtəlif növləri üzrə qiymətqoyma prosesinin reallaşdırılması; </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Sadaladığımız bu amillərin və ümumilikdə bu illər ərzində</w:t>
      </w:r>
      <w:r w:rsidR="00A12AE3" w:rsidRPr="006B7E8B">
        <w:rPr>
          <w:rFonts w:ascii="Times New Roman" w:hAnsi="Times New Roman" w:cs="Times New Roman"/>
          <w:sz w:val="28"/>
          <w:szCs w:val="28"/>
          <w:lang w:val="az-Latn-AZ"/>
        </w:rPr>
        <w:t xml:space="preserve"> devalvasiya</w:t>
      </w:r>
      <w:r w:rsidRPr="006B7E8B">
        <w:rPr>
          <w:rFonts w:ascii="Times New Roman" w:hAnsi="Times New Roman" w:cs="Times New Roman"/>
          <w:sz w:val="28"/>
          <w:szCs w:val="28"/>
          <w:lang w:val="az-Latn-AZ"/>
        </w:rPr>
        <w:t>nın yüksək olması, Ukraynada hiperdevalvasiya nın baş verməsi ilə nəticələnmişdi. Mə</w:t>
      </w:r>
      <w:r w:rsidR="00A12AE3" w:rsidRPr="006B7E8B">
        <w:rPr>
          <w:rFonts w:ascii="Times New Roman" w:hAnsi="Times New Roman" w:cs="Times New Roman"/>
          <w:sz w:val="28"/>
          <w:szCs w:val="28"/>
          <w:lang w:val="az-Latn-AZ"/>
        </w:rPr>
        <w:t>hz hiperdevalvasiya</w:t>
      </w:r>
      <w:r w:rsidRPr="006B7E8B">
        <w:rPr>
          <w:rFonts w:ascii="Times New Roman" w:hAnsi="Times New Roman" w:cs="Times New Roman"/>
          <w:sz w:val="28"/>
          <w:szCs w:val="28"/>
          <w:lang w:val="az-Latn-AZ"/>
        </w:rPr>
        <w:t xml:space="preserve">nın təsiri ilə əlaqədar olaraq ümumi daxili məhsulun səviyyəsi kəskin surətdə azalmışdır. Bir çox ölkələrdə olduğu kimi, Ukraynada da baş verən devalvasiya  nəticə etibarilə onun səviyyəsinin yüksək olması, kreditə görə faizlərin daha çox olmasına gətirib çıxardı. </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Polşanın devalvasiya  ilə mübarizə təcrübəsinə nəzər salsaq, hər şeydən əvvəl qeyd etməliyik ki devalvasiya nın yüksək səviyyəsi bu ölkədə 1988-ci ildə müşahidə edilmiş və növbəti illərdə isə 2 dəfə artmışdır. Baş verən bütün bu proseslərləəlaqədar dövlət , devalvasiya  ilə mübarizə ilə əlaqədar şok terapiyası adlanan devalvasiya  tədbirlərinin icra edilməsinə başladı. Bu kompleks tədbirləri özündə aşağıdakı sadalayacağımız məsələlər üzrə dövlətin müxtəlif kompleks tədbirlər sistemini özündə əks etdirir. Yerinə yetirilən bütün bu antidevalvasiya  siyasəti ilə əlaqədar tədbirlər tam olaraq Polşa da tam sabitliyin əldə olunması ilə nəticələnməsə də, ümumilikdə devalvasiya  səviyyəsinin azaldılması və buna müvafiq olaraq bəzi məsələnin tənzimlənməsində mühüm rol oynadı. </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b/>
          <w:sz w:val="28"/>
          <w:szCs w:val="28"/>
          <w:lang w:val="az-Latn-AZ"/>
        </w:rPr>
        <w:t>Diaqram 3.2.</w:t>
      </w:r>
      <w:r w:rsidRPr="006B7E8B">
        <w:rPr>
          <w:rFonts w:ascii="Times New Roman" w:hAnsi="Times New Roman" w:cs="Times New Roman"/>
          <w:sz w:val="28"/>
          <w:szCs w:val="28"/>
          <w:lang w:val="az-Latn-AZ"/>
        </w:rPr>
        <w:t xml:space="preserve"> Polşada 1993-2010-cu illər ərzində orta illik devalvasiya </w:t>
      </w:r>
    </w:p>
    <w:p w:rsidR="007F7AC2" w:rsidRPr="006B7E8B" w:rsidRDefault="007F7AC2" w:rsidP="007F7AC2">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noProof/>
          <w:sz w:val="28"/>
          <w:szCs w:val="28"/>
          <w:lang w:val="en-US"/>
        </w:rPr>
        <w:drawing>
          <wp:inline distT="0" distB="0" distL="0" distR="0" wp14:anchorId="0A3B5E2B" wp14:editId="2298494D">
            <wp:extent cx="4857750" cy="31851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57750" cy="3185147"/>
                    </a:xfrm>
                    <a:prstGeom prst="rect">
                      <a:avLst/>
                    </a:prstGeom>
                  </pic:spPr>
                </pic:pic>
              </a:graphicData>
            </a:graphic>
          </wp:inline>
        </w:drawing>
      </w:r>
    </w:p>
    <w:p w:rsidR="007F7AC2" w:rsidRPr="006B7E8B" w:rsidRDefault="007F7AC2" w:rsidP="00F84306">
      <w:pPr>
        <w:autoSpaceDE w:val="0"/>
        <w:autoSpaceDN w:val="0"/>
        <w:adjustRightInd w:val="0"/>
        <w:spacing w:after="0" w:line="360" w:lineRule="auto"/>
        <w:jc w:val="both"/>
        <w:rPr>
          <w:rFonts w:ascii="Times New Roman" w:hAnsi="Times New Roman" w:cs="Times New Roman"/>
          <w:sz w:val="28"/>
          <w:szCs w:val="28"/>
          <w:lang w:val="az-Latn-AZ"/>
        </w:rPr>
      </w:pPr>
    </w:p>
    <w:p w:rsidR="00F84306" w:rsidRPr="006B7E8B" w:rsidRDefault="005148D4" w:rsidP="00F8430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2015-ci ildə i</w:t>
      </w:r>
      <w:r w:rsidR="00F84306" w:rsidRPr="006B7E8B">
        <w:rPr>
          <w:rFonts w:ascii="Times New Roman" w:hAnsi="Times New Roman" w:cs="Times New Roman"/>
          <w:sz w:val="28"/>
          <w:szCs w:val="28"/>
          <w:lang w:val="az-Latn-AZ"/>
        </w:rPr>
        <w:t xml:space="preserve">ki dəfə </w:t>
      </w:r>
      <w:r w:rsidR="009D1DAA" w:rsidRPr="006B7E8B">
        <w:rPr>
          <w:rFonts w:ascii="Times New Roman" w:hAnsi="Times New Roman" w:cs="Times New Roman"/>
          <w:sz w:val="28"/>
          <w:szCs w:val="28"/>
          <w:lang w:val="az-Latn-AZ"/>
        </w:rPr>
        <w:t>hiss olunacaq</w:t>
      </w:r>
      <w:r w:rsidR="00F84306" w:rsidRPr="006B7E8B">
        <w:rPr>
          <w:rFonts w:ascii="Times New Roman" w:hAnsi="Times New Roman" w:cs="Times New Roman"/>
          <w:sz w:val="28"/>
          <w:szCs w:val="28"/>
          <w:lang w:val="az-Latn-AZ"/>
        </w:rPr>
        <w:t xml:space="preserve"> devalvasiyaya getmək məcburiyyətində </w:t>
      </w:r>
      <w:r w:rsidR="009D1DAA" w:rsidRPr="006B7E8B">
        <w:rPr>
          <w:rFonts w:ascii="Times New Roman" w:hAnsi="Times New Roman" w:cs="Times New Roman"/>
          <w:sz w:val="28"/>
          <w:szCs w:val="28"/>
          <w:lang w:val="az-Latn-AZ"/>
        </w:rPr>
        <w:t>olan Azərbaycan</w:t>
      </w:r>
      <w:r w:rsidR="00A8092A" w:rsidRPr="006B7E8B">
        <w:rPr>
          <w:rFonts w:ascii="Times New Roman" w:hAnsi="Times New Roman" w:cs="Times New Roman"/>
          <w:sz w:val="28"/>
          <w:szCs w:val="28"/>
          <w:lang w:val="az-Latn-AZ"/>
        </w:rPr>
        <w:t>da</w:t>
      </w:r>
      <w:r w:rsidR="009D1DAA" w:rsidRPr="006B7E8B">
        <w:rPr>
          <w:rFonts w:ascii="Times New Roman" w:hAnsi="Times New Roman" w:cs="Times New Roman"/>
          <w:sz w:val="28"/>
          <w:szCs w:val="28"/>
          <w:lang w:val="az-Latn-AZ"/>
        </w:rPr>
        <w:t>,</w:t>
      </w:r>
      <w:r w:rsidR="00F84306" w:rsidRPr="006B7E8B">
        <w:rPr>
          <w:rFonts w:ascii="Times New Roman" w:hAnsi="Times New Roman" w:cs="Times New Roman"/>
          <w:sz w:val="28"/>
          <w:szCs w:val="28"/>
          <w:lang w:val="az-Latn-AZ"/>
        </w:rPr>
        <w:t xml:space="preserve"> milli valyutanın məzənnəsi</w:t>
      </w:r>
      <w:r w:rsidR="009D1DAA" w:rsidRPr="006B7E8B">
        <w:rPr>
          <w:rFonts w:ascii="Times New Roman" w:hAnsi="Times New Roman" w:cs="Times New Roman"/>
          <w:sz w:val="28"/>
          <w:szCs w:val="28"/>
          <w:lang w:val="az-Latn-AZ"/>
        </w:rPr>
        <w:t>ni</w:t>
      </w:r>
      <w:r w:rsidR="00F84306" w:rsidRPr="006B7E8B">
        <w:rPr>
          <w:rFonts w:ascii="Times New Roman" w:hAnsi="Times New Roman" w:cs="Times New Roman"/>
          <w:sz w:val="28"/>
          <w:szCs w:val="28"/>
          <w:lang w:val="az-Latn-AZ"/>
        </w:rPr>
        <w:t xml:space="preserve"> 50% ucuzlaşaraq 1 manat üçün 1.28 dollardan 0,65 dollara qədər </w:t>
      </w:r>
      <w:r w:rsidR="009D1DAA" w:rsidRPr="006B7E8B">
        <w:rPr>
          <w:rFonts w:ascii="Times New Roman" w:hAnsi="Times New Roman" w:cs="Times New Roman"/>
          <w:sz w:val="28"/>
          <w:szCs w:val="28"/>
          <w:lang w:val="az-Latn-AZ"/>
        </w:rPr>
        <w:t xml:space="preserve">aşağı </w:t>
      </w:r>
      <w:r w:rsidR="00A8092A" w:rsidRPr="006B7E8B">
        <w:rPr>
          <w:rFonts w:ascii="Times New Roman" w:hAnsi="Times New Roman" w:cs="Times New Roman"/>
          <w:sz w:val="28"/>
          <w:szCs w:val="28"/>
          <w:lang w:val="az-Latn-AZ"/>
        </w:rPr>
        <w:t>düşdü</w:t>
      </w:r>
      <w:r w:rsidR="00F84306" w:rsidRPr="006B7E8B">
        <w:rPr>
          <w:rFonts w:ascii="Times New Roman" w:hAnsi="Times New Roman" w:cs="Times New Roman"/>
          <w:sz w:val="28"/>
          <w:szCs w:val="28"/>
          <w:lang w:val="az-Latn-AZ"/>
        </w:rPr>
        <w:t xml:space="preserve">. </w:t>
      </w:r>
      <w:r w:rsidR="00373761" w:rsidRPr="006B7E8B">
        <w:rPr>
          <w:rFonts w:ascii="Times New Roman" w:hAnsi="Times New Roman" w:cs="Times New Roman"/>
          <w:sz w:val="28"/>
          <w:szCs w:val="28"/>
          <w:lang w:val="az-Latn-AZ"/>
        </w:rPr>
        <w:t>Bundan sonra</w:t>
      </w:r>
      <w:r w:rsidR="00F84306" w:rsidRPr="006B7E8B">
        <w:rPr>
          <w:rFonts w:ascii="Times New Roman" w:hAnsi="Times New Roman" w:cs="Times New Roman"/>
          <w:sz w:val="28"/>
          <w:szCs w:val="28"/>
          <w:lang w:val="az-Latn-AZ"/>
        </w:rPr>
        <w:t xml:space="preserve"> milli valyutanın üzən məzənnəyə </w:t>
      </w:r>
      <w:r w:rsidR="00373761" w:rsidRPr="006B7E8B">
        <w:rPr>
          <w:rFonts w:ascii="Times New Roman" w:hAnsi="Times New Roman" w:cs="Times New Roman"/>
          <w:sz w:val="28"/>
          <w:szCs w:val="28"/>
          <w:lang w:val="az-Latn-AZ"/>
        </w:rPr>
        <w:t>keçirilməsinin</w:t>
      </w:r>
      <w:r w:rsidR="00F84306" w:rsidRPr="006B7E8B">
        <w:rPr>
          <w:rFonts w:ascii="Times New Roman" w:hAnsi="Times New Roman" w:cs="Times New Roman"/>
          <w:sz w:val="28"/>
          <w:szCs w:val="28"/>
          <w:lang w:val="az-Latn-AZ"/>
        </w:rPr>
        <w:t xml:space="preserve"> elan </w:t>
      </w:r>
      <w:r w:rsidR="00373761" w:rsidRPr="006B7E8B">
        <w:rPr>
          <w:rFonts w:ascii="Times New Roman" w:hAnsi="Times New Roman" w:cs="Times New Roman"/>
          <w:sz w:val="28"/>
          <w:szCs w:val="28"/>
          <w:lang w:val="az-Latn-AZ"/>
        </w:rPr>
        <w:t>olunması ilə</w:t>
      </w:r>
      <w:r w:rsidR="00F84306" w:rsidRPr="006B7E8B">
        <w:rPr>
          <w:rFonts w:ascii="Times New Roman" w:hAnsi="Times New Roman" w:cs="Times New Roman"/>
          <w:sz w:val="28"/>
          <w:szCs w:val="28"/>
          <w:lang w:val="az-Latn-AZ"/>
        </w:rPr>
        <w:t xml:space="preserve"> onun </w:t>
      </w:r>
      <w:r w:rsidR="00373761" w:rsidRPr="006B7E8B">
        <w:rPr>
          <w:rFonts w:ascii="Times New Roman" w:hAnsi="Times New Roman" w:cs="Times New Roman"/>
          <w:sz w:val="28"/>
          <w:szCs w:val="28"/>
          <w:lang w:val="az-Latn-AZ"/>
        </w:rPr>
        <w:t>qiymətinin</w:t>
      </w:r>
      <w:r w:rsidR="00F84306" w:rsidRPr="006B7E8B">
        <w:rPr>
          <w:rFonts w:ascii="Times New Roman" w:hAnsi="Times New Roman" w:cs="Times New Roman"/>
          <w:sz w:val="28"/>
          <w:szCs w:val="28"/>
          <w:lang w:val="az-Latn-AZ"/>
        </w:rPr>
        <w:t xml:space="preserve"> </w:t>
      </w:r>
      <w:r w:rsidR="00373761" w:rsidRPr="006B7E8B">
        <w:rPr>
          <w:rFonts w:ascii="Times New Roman" w:hAnsi="Times New Roman" w:cs="Times New Roman"/>
          <w:sz w:val="28"/>
          <w:szCs w:val="28"/>
          <w:lang w:val="az-Latn-AZ"/>
        </w:rPr>
        <w:t>aşağı düşməsi</w:t>
      </w:r>
      <w:r w:rsidR="00F84306" w:rsidRPr="006B7E8B">
        <w:rPr>
          <w:rFonts w:ascii="Times New Roman" w:hAnsi="Times New Roman" w:cs="Times New Roman"/>
          <w:sz w:val="28"/>
          <w:szCs w:val="28"/>
          <w:lang w:val="az-Latn-AZ"/>
        </w:rPr>
        <w:t xml:space="preserve"> davam etdirilsə də</w:t>
      </w:r>
      <w:r w:rsidR="00373761" w:rsidRPr="006B7E8B">
        <w:rPr>
          <w:rFonts w:ascii="Times New Roman" w:hAnsi="Times New Roman" w:cs="Times New Roman"/>
          <w:sz w:val="28"/>
          <w:szCs w:val="28"/>
          <w:lang w:val="az-Latn-AZ"/>
        </w:rPr>
        <w:t xml:space="preserve">, 2017-ci il aprel ayından </w:t>
      </w:r>
      <w:r w:rsidR="00F84306" w:rsidRPr="006B7E8B">
        <w:rPr>
          <w:rFonts w:ascii="Times New Roman" w:hAnsi="Times New Roman" w:cs="Times New Roman"/>
          <w:sz w:val="28"/>
          <w:szCs w:val="28"/>
          <w:lang w:val="az-Latn-AZ"/>
        </w:rPr>
        <w:t>faktiki olaraq 1 manatın </w:t>
      </w:r>
      <w:hyperlink r:id="rId14" w:history="1">
        <w:r w:rsidR="00F84306" w:rsidRPr="006B7E8B">
          <w:rPr>
            <w:rStyle w:val="Hyperlink"/>
            <w:rFonts w:ascii="Times New Roman" w:hAnsi="Times New Roman" w:cs="Times New Roman"/>
            <w:color w:val="auto"/>
            <w:sz w:val="28"/>
            <w:szCs w:val="28"/>
            <w:u w:val="none"/>
            <w:lang w:val="az-Latn-AZ"/>
          </w:rPr>
          <w:t>rəsmi məzənnəsi</w:t>
        </w:r>
      </w:hyperlink>
      <w:r w:rsidR="00F84306" w:rsidRPr="006B7E8B">
        <w:rPr>
          <w:rFonts w:ascii="Times New Roman" w:hAnsi="Times New Roman" w:cs="Times New Roman"/>
          <w:sz w:val="28"/>
          <w:szCs w:val="28"/>
          <w:lang w:val="az-Latn-AZ"/>
        </w:rPr>
        <w:t xml:space="preserve"> 0,59 dollar səviyyəsində </w:t>
      </w:r>
      <w:r w:rsidR="00373761" w:rsidRPr="006B7E8B">
        <w:rPr>
          <w:rFonts w:ascii="Times New Roman" w:hAnsi="Times New Roman" w:cs="Times New Roman"/>
          <w:sz w:val="28"/>
          <w:szCs w:val="28"/>
          <w:lang w:val="az-Latn-AZ"/>
        </w:rPr>
        <w:t>sabit olaraq qalmaqdadır</w:t>
      </w:r>
      <w:r w:rsidR="00F84306" w:rsidRPr="006B7E8B">
        <w:rPr>
          <w:rFonts w:ascii="Times New Roman" w:hAnsi="Times New Roman" w:cs="Times New Roman"/>
          <w:sz w:val="28"/>
          <w:szCs w:val="28"/>
          <w:lang w:val="az-Latn-AZ"/>
        </w:rPr>
        <w:t>.</w:t>
      </w:r>
    </w:p>
    <w:p w:rsidR="00F84306" w:rsidRPr="006B7E8B" w:rsidRDefault="002274C2" w:rsidP="00F84306">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Qeyd etdiyimiz kimi devlvasiya ilkin formada bank sistemlərinə zərər vurur. Elə sözügedən ildə də Azərbaycanda devalvasiya banklara ciddi təsir göstərdi.</w:t>
      </w:r>
      <w:r w:rsidR="00F84306" w:rsidRPr="006B7E8B">
        <w:rPr>
          <w:rFonts w:ascii="Times New Roman" w:hAnsi="Times New Roman" w:cs="Times New Roman"/>
          <w:sz w:val="28"/>
          <w:szCs w:val="28"/>
          <w:lang w:val="az-Latn-AZ"/>
        </w:rPr>
        <w:t xml:space="preserve"> Xarici valyutada</w:t>
      </w:r>
      <w:r w:rsidRPr="006B7E8B">
        <w:rPr>
          <w:rFonts w:ascii="Times New Roman" w:hAnsi="Times New Roman" w:cs="Times New Roman"/>
          <w:sz w:val="28"/>
          <w:szCs w:val="28"/>
          <w:lang w:val="az-Latn-AZ"/>
        </w:rPr>
        <w:t>n alınmış</w:t>
      </w:r>
      <w:r w:rsidR="00F84306" w:rsidRPr="006B7E8B">
        <w:rPr>
          <w:rFonts w:ascii="Times New Roman" w:hAnsi="Times New Roman" w:cs="Times New Roman"/>
          <w:sz w:val="28"/>
          <w:szCs w:val="28"/>
          <w:lang w:val="az-Latn-AZ"/>
        </w:rPr>
        <w:t xml:space="preserve"> kreditlərin geri </w:t>
      </w:r>
      <w:r w:rsidRPr="006B7E8B">
        <w:rPr>
          <w:rFonts w:ascii="Times New Roman" w:hAnsi="Times New Roman" w:cs="Times New Roman"/>
          <w:sz w:val="28"/>
          <w:szCs w:val="28"/>
          <w:lang w:val="az-Latn-AZ"/>
        </w:rPr>
        <w:t>alınmasında</w:t>
      </w:r>
      <w:r w:rsidR="00F84306"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meydana çıxmış</w:t>
      </w:r>
      <w:r w:rsidR="00F84306" w:rsidRPr="006B7E8B">
        <w:rPr>
          <w:rFonts w:ascii="Times New Roman" w:hAnsi="Times New Roman" w:cs="Times New Roman"/>
          <w:sz w:val="28"/>
          <w:szCs w:val="28"/>
          <w:lang w:val="az-Latn-AZ"/>
        </w:rPr>
        <w:t xml:space="preserve"> çətinlik bank sektorunun </w:t>
      </w:r>
      <w:r w:rsidRPr="006B7E8B">
        <w:rPr>
          <w:rFonts w:ascii="Times New Roman" w:hAnsi="Times New Roman" w:cs="Times New Roman"/>
          <w:sz w:val="28"/>
          <w:szCs w:val="28"/>
          <w:lang w:val="az-Latn-AZ"/>
        </w:rPr>
        <w:t>maliyyə vəziyyətinin pisə doğru getməyinə səbəb oldu</w:t>
      </w:r>
      <w:r w:rsidR="00F84306" w:rsidRPr="006B7E8B">
        <w:rPr>
          <w:rFonts w:ascii="Times New Roman" w:hAnsi="Times New Roman" w:cs="Times New Roman"/>
          <w:sz w:val="28"/>
          <w:szCs w:val="28"/>
          <w:lang w:val="az-Latn-AZ"/>
        </w:rPr>
        <w:t xml:space="preserve">. </w:t>
      </w:r>
      <w:r w:rsidR="009B16A8" w:rsidRPr="006B7E8B">
        <w:rPr>
          <w:rFonts w:ascii="Times New Roman" w:hAnsi="Times New Roman" w:cs="Times New Roman"/>
          <w:sz w:val="28"/>
          <w:szCs w:val="28"/>
          <w:lang w:val="az-Latn-AZ"/>
        </w:rPr>
        <w:t>Respublikanın</w:t>
      </w:r>
      <w:r w:rsidR="00F84306" w:rsidRPr="006B7E8B">
        <w:rPr>
          <w:rFonts w:ascii="Times New Roman" w:hAnsi="Times New Roman" w:cs="Times New Roman"/>
          <w:sz w:val="28"/>
          <w:szCs w:val="28"/>
          <w:lang w:val="az-Latn-AZ"/>
        </w:rPr>
        <w:t xml:space="preserve"> ən b</w:t>
      </w:r>
      <w:r w:rsidR="009B16A8" w:rsidRPr="006B7E8B">
        <w:rPr>
          <w:rFonts w:ascii="Times New Roman" w:hAnsi="Times New Roman" w:cs="Times New Roman"/>
          <w:sz w:val="28"/>
          <w:szCs w:val="28"/>
          <w:lang w:val="az-Latn-AZ"/>
        </w:rPr>
        <w:t>öyük bankı olan, bank sektorunda 40% payı olan</w:t>
      </w:r>
      <w:r w:rsidR="00F84306" w:rsidRPr="006B7E8B">
        <w:rPr>
          <w:rFonts w:ascii="Times New Roman" w:hAnsi="Times New Roman" w:cs="Times New Roman"/>
          <w:sz w:val="28"/>
          <w:szCs w:val="28"/>
          <w:lang w:val="az-Latn-AZ"/>
        </w:rPr>
        <w:t xml:space="preserve"> Beynəlxalq Bank müflisləşmə </w:t>
      </w:r>
      <w:r w:rsidR="009B16A8" w:rsidRPr="006B7E8B">
        <w:rPr>
          <w:rFonts w:ascii="Times New Roman" w:hAnsi="Times New Roman" w:cs="Times New Roman"/>
          <w:sz w:val="28"/>
          <w:szCs w:val="28"/>
          <w:lang w:val="az-Latn-AZ"/>
        </w:rPr>
        <w:t>riski</w:t>
      </w:r>
      <w:r w:rsidR="00F84306" w:rsidRPr="006B7E8B">
        <w:rPr>
          <w:rFonts w:ascii="Times New Roman" w:hAnsi="Times New Roman" w:cs="Times New Roman"/>
          <w:sz w:val="28"/>
          <w:szCs w:val="28"/>
          <w:lang w:val="az-Latn-AZ"/>
        </w:rPr>
        <w:t xml:space="preserve"> ilə </w:t>
      </w:r>
      <w:r w:rsidR="009B16A8" w:rsidRPr="006B7E8B">
        <w:rPr>
          <w:rFonts w:ascii="Times New Roman" w:hAnsi="Times New Roman" w:cs="Times New Roman"/>
          <w:sz w:val="28"/>
          <w:szCs w:val="28"/>
          <w:lang w:val="az-Latn-AZ"/>
        </w:rPr>
        <w:t>qarşı-qarşıya gəldi</w:t>
      </w:r>
      <w:r w:rsidR="00F84306" w:rsidRPr="006B7E8B">
        <w:rPr>
          <w:rFonts w:ascii="Times New Roman" w:hAnsi="Times New Roman" w:cs="Times New Roman"/>
          <w:sz w:val="28"/>
          <w:szCs w:val="28"/>
          <w:lang w:val="az-Latn-AZ"/>
        </w:rPr>
        <w:t xml:space="preserve">. Dövlətin milyardlarda manat vəsaiti hesabına bu bankın aktivlərinin </w:t>
      </w:r>
      <w:r w:rsidR="00B56237" w:rsidRPr="006B7E8B">
        <w:rPr>
          <w:rFonts w:ascii="Times New Roman" w:hAnsi="Times New Roman" w:cs="Times New Roman"/>
          <w:sz w:val="28"/>
          <w:szCs w:val="28"/>
          <w:lang w:val="az-Latn-AZ"/>
        </w:rPr>
        <w:t>vacib</w:t>
      </w:r>
      <w:r w:rsidR="00F84306" w:rsidRPr="006B7E8B">
        <w:rPr>
          <w:rFonts w:ascii="Times New Roman" w:hAnsi="Times New Roman" w:cs="Times New Roman"/>
          <w:sz w:val="28"/>
          <w:szCs w:val="28"/>
          <w:lang w:val="az-Latn-AZ"/>
        </w:rPr>
        <w:t xml:space="preserve"> hissəsi </w:t>
      </w:r>
      <w:r w:rsidR="00B56237" w:rsidRPr="006B7E8B">
        <w:rPr>
          <w:rFonts w:ascii="Times New Roman" w:hAnsi="Times New Roman" w:cs="Times New Roman"/>
          <w:sz w:val="28"/>
          <w:szCs w:val="28"/>
          <w:lang w:val="az-Latn-AZ"/>
        </w:rPr>
        <w:t>yaxşılaşdırıldı</w:t>
      </w:r>
      <w:r w:rsidR="00F84306" w:rsidRPr="006B7E8B">
        <w:rPr>
          <w:rFonts w:ascii="Times New Roman" w:hAnsi="Times New Roman" w:cs="Times New Roman"/>
          <w:sz w:val="28"/>
          <w:szCs w:val="28"/>
          <w:lang w:val="az-Latn-AZ"/>
        </w:rPr>
        <w:t xml:space="preserve">, xarici borc öhdəliklərini isə dövlət öz </w:t>
      </w:r>
      <w:r w:rsidR="00B56237" w:rsidRPr="006B7E8B">
        <w:rPr>
          <w:rFonts w:ascii="Times New Roman" w:hAnsi="Times New Roman" w:cs="Times New Roman"/>
          <w:sz w:val="28"/>
          <w:szCs w:val="28"/>
          <w:lang w:val="az-Latn-AZ"/>
        </w:rPr>
        <w:t>boynuna</w:t>
      </w:r>
      <w:r w:rsidR="00F84306" w:rsidRPr="006B7E8B">
        <w:rPr>
          <w:rFonts w:ascii="Times New Roman" w:hAnsi="Times New Roman" w:cs="Times New Roman"/>
          <w:sz w:val="28"/>
          <w:szCs w:val="28"/>
          <w:lang w:val="az-Latn-AZ"/>
        </w:rPr>
        <w:t xml:space="preserve"> götürdü. Dövlə</w:t>
      </w:r>
      <w:r w:rsidR="00B56237" w:rsidRPr="006B7E8B">
        <w:rPr>
          <w:rFonts w:ascii="Times New Roman" w:hAnsi="Times New Roman" w:cs="Times New Roman"/>
          <w:sz w:val="28"/>
          <w:szCs w:val="28"/>
          <w:lang w:val="az-Latn-AZ"/>
        </w:rPr>
        <w:t>t</w:t>
      </w:r>
      <w:r w:rsidR="00F84306" w:rsidRPr="006B7E8B">
        <w:rPr>
          <w:rFonts w:ascii="Times New Roman" w:hAnsi="Times New Roman" w:cs="Times New Roman"/>
          <w:sz w:val="28"/>
          <w:szCs w:val="28"/>
          <w:lang w:val="az-Latn-AZ"/>
        </w:rPr>
        <w:t xml:space="preserve"> banklara müəyyən </w:t>
      </w:r>
      <w:r w:rsidR="00B56237" w:rsidRPr="006B7E8B">
        <w:rPr>
          <w:rFonts w:ascii="Times New Roman" w:hAnsi="Times New Roman" w:cs="Times New Roman"/>
          <w:sz w:val="28"/>
          <w:szCs w:val="28"/>
          <w:lang w:val="az-Latn-AZ"/>
        </w:rPr>
        <w:t>dəstəklər versə də</w:t>
      </w:r>
      <w:r w:rsidR="00F84306" w:rsidRPr="006B7E8B">
        <w:rPr>
          <w:rFonts w:ascii="Times New Roman" w:hAnsi="Times New Roman" w:cs="Times New Roman"/>
          <w:sz w:val="28"/>
          <w:szCs w:val="28"/>
          <w:lang w:val="az-Latn-AZ"/>
        </w:rPr>
        <w:t xml:space="preserve">, dollar kreditlərinin </w:t>
      </w:r>
      <w:r w:rsidR="00B56237" w:rsidRPr="006B7E8B">
        <w:rPr>
          <w:rFonts w:ascii="Times New Roman" w:hAnsi="Times New Roman" w:cs="Times New Roman"/>
          <w:sz w:val="28"/>
          <w:szCs w:val="28"/>
          <w:lang w:val="az-Latn-AZ"/>
        </w:rPr>
        <w:t>geri ödəilməsini</w:t>
      </w:r>
      <w:r w:rsidR="00F84306" w:rsidRPr="006B7E8B">
        <w:rPr>
          <w:rFonts w:ascii="Times New Roman" w:hAnsi="Times New Roman" w:cs="Times New Roman"/>
          <w:sz w:val="28"/>
          <w:szCs w:val="28"/>
          <w:lang w:val="az-Latn-AZ"/>
        </w:rPr>
        <w:t xml:space="preserve"> banklarla müştərilərin </w:t>
      </w:r>
      <w:r w:rsidR="00B56237" w:rsidRPr="006B7E8B">
        <w:rPr>
          <w:rFonts w:ascii="Times New Roman" w:hAnsi="Times New Roman" w:cs="Times New Roman"/>
          <w:sz w:val="28"/>
          <w:szCs w:val="28"/>
          <w:lang w:val="az-Latn-AZ"/>
        </w:rPr>
        <w:t>öhtəliyinə qoydu</w:t>
      </w:r>
      <w:r w:rsidR="00F84306" w:rsidRPr="006B7E8B">
        <w:rPr>
          <w:rFonts w:ascii="Times New Roman" w:hAnsi="Times New Roman" w:cs="Times New Roman"/>
          <w:sz w:val="28"/>
          <w:szCs w:val="28"/>
          <w:lang w:val="az-Latn-AZ"/>
        </w:rPr>
        <w:t xml:space="preserve">, </w:t>
      </w:r>
      <w:r w:rsidR="00B56237" w:rsidRPr="006B7E8B">
        <w:rPr>
          <w:rFonts w:ascii="Times New Roman" w:hAnsi="Times New Roman" w:cs="Times New Roman"/>
          <w:sz w:val="28"/>
          <w:szCs w:val="28"/>
          <w:lang w:val="az-Latn-AZ"/>
        </w:rPr>
        <w:t>bunun nəticəsində problemli kreditlər bank sektorunun əsas bəlasına çevrildi</w:t>
      </w:r>
      <w:r w:rsidR="00F84306" w:rsidRPr="006B7E8B">
        <w:rPr>
          <w:rFonts w:ascii="Times New Roman" w:hAnsi="Times New Roman" w:cs="Times New Roman"/>
          <w:sz w:val="28"/>
          <w:szCs w:val="28"/>
          <w:lang w:val="az-Latn-AZ"/>
        </w:rPr>
        <w:t>.</w:t>
      </w:r>
    </w:p>
    <w:p w:rsidR="00F84306" w:rsidRPr="006B7E8B" w:rsidRDefault="00700BA3" w:rsidP="00F84306">
      <w:pPr>
        <w:autoSpaceDE w:val="0"/>
        <w:autoSpaceDN w:val="0"/>
        <w:adjustRightInd w:val="0"/>
        <w:spacing w:after="0" w:line="360" w:lineRule="auto"/>
        <w:ind w:firstLine="708"/>
        <w:jc w:val="both"/>
        <w:rPr>
          <w:rFonts w:ascii="Times New Roman" w:hAnsi="Times New Roman" w:cs="Times New Roman"/>
          <w:b/>
          <w:bCs/>
          <w:sz w:val="28"/>
          <w:szCs w:val="28"/>
          <w:lang w:val="az-Latn-AZ"/>
        </w:rPr>
      </w:pPr>
      <w:r w:rsidRPr="00700BA3">
        <w:rPr>
          <w:rFonts w:ascii="Times New Roman" w:hAnsi="Times New Roman" w:cs="Times New Roman"/>
          <w:bCs/>
          <w:iCs/>
          <w:sz w:val="28"/>
          <w:szCs w:val="28"/>
          <w:lang w:val="az-Latn-AZ"/>
        </w:rPr>
        <w:t>Bank sektorunda yığılmış aktivlərin həcmi azalmışdır. Bankların depozit və kredit qoyuluşlarında azalma onların maliyyə vəziyyətinin pisləşməsinə və azalmasına gətirib çıxardı. Mərkəz Bankı və maliyyə bazarlarında Control otağının statistikasının təhlili göstərir təhliinə baxdığımızda görürük ki, devalvasiyaya əvvəlki iki ildə aktivlərini 71,2% yüksəltməyi bacaran banklar devalvasiyaya sonrakı önümüzdəki iki il içində aktivlərinin 20% -ni əldən verməli oldular. Varlıq azalmasının əsas səbəbi Beynəlxalq Bank zərərli aktivlərininin vəziyyətini yaxşılaşdırmaq məqsədi ilə bank olmayan "Aqrarkredit" kredit birliyinə köçürməsi və bəzi bankların vəziyyətə dözə bilməyib bağlanmasıdır. 2015-ci ildə bankların aktivləri 35 milyard Türk lirəsinə yaxınlaşdı, bu da tarixi rekord limitdir. 2015-ci ildə yaşanan yüksək artımın (38,6%) əsas səbəbi manatın nominal məzənnəsinin ucuzlaşması nəticəsində valyuta aktivlərinin yenidən qiymətləndirilməsi olub.</w:t>
      </w:r>
      <w:r>
        <w:rPr>
          <w:rFonts w:ascii="Times New Roman" w:hAnsi="Times New Roman" w:cs="Times New Roman"/>
          <w:b/>
          <w:bCs/>
          <w:iCs/>
          <w:sz w:val="28"/>
          <w:szCs w:val="28"/>
          <w:lang w:val="az-Latn-AZ"/>
        </w:rPr>
        <w:t xml:space="preserve"> </w:t>
      </w:r>
      <w:r w:rsidR="001E3AA2" w:rsidRPr="006B7E8B">
        <w:rPr>
          <w:rFonts w:ascii="Times New Roman" w:hAnsi="Times New Roman" w:cs="Times New Roman"/>
          <w:bCs/>
          <w:sz w:val="28"/>
          <w:szCs w:val="28"/>
          <w:lang w:val="az-Latn-AZ"/>
        </w:rPr>
        <w:t>Bəhs olunan vəziyyətin təhlilinə aşağıdakı qrafikdə nəzər yetirə bilərik</w:t>
      </w:r>
      <w:r w:rsidR="00F84306" w:rsidRPr="006B7E8B">
        <w:rPr>
          <w:rFonts w:ascii="Times New Roman" w:hAnsi="Times New Roman" w:cs="Times New Roman"/>
          <w:bCs/>
          <w:sz w:val="28"/>
          <w:szCs w:val="28"/>
          <w:lang w:val="az-Latn-AZ"/>
        </w:rPr>
        <w:t xml:space="preserve"> (Qrafik </w:t>
      </w:r>
      <w:r w:rsidR="001E3AA2" w:rsidRPr="006B7E8B">
        <w:rPr>
          <w:rFonts w:ascii="Times New Roman" w:hAnsi="Times New Roman" w:cs="Times New Roman"/>
          <w:bCs/>
          <w:sz w:val="28"/>
          <w:szCs w:val="28"/>
          <w:lang w:val="az-Latn-AZ"/>
        </w:rPr>
        <w:t>3.</w:t>
      </w:r>
      <w:r w:rsidR="00F84306" w:rsidRPr="006B7E8B">
        <w:rPr>
          <w:rFonts w:ascii="Times New Roman" w:hAnsi="Times New Roman" w:cs="Times New Roman"/>
          <w:bCs/>
          <w:sz w:val="28"/>
          <w:szCs w:val="28"/>
          <w:lang w:val="az-Latn-AZ"/>
        </w:rPr>
        <w:t>1)</w:t>
      </w:r>
      <w:r w:rsidR="001E3AA2" w:rsidRPr="006B7E8B">
        <w:rPr>
          <w:rFonts w:ascii="Times New Roman" w:hAnsi="Times New Roman" w:cs="Times New Roman"/>
          <w:bCs/>
          <w:sz w:val="28"/>
          <w:szCs w:val="28"/>
          <w:lang w:val="az-Latn-AZ"/>
        </w:rPr>
        <w:t>.</w:t>
      </w:r>
    </w:p>
    <w:p w:rsidR="001E3AA2" w:rsidRPr="006B7E8B" w:rsidRDefault="001E3AA2" w:rsidP="001E3AA2">
      <w:pPr>
        <w:autoSpaceDE w:val="0"/>
        <w:autoSpaceDN w:val="0"/>
        <w:adjustRightInd w:val="0"/>
        <w:spacing w:after="0" w:line="360" w:lineRule="auto"/>
        <w:ind w:firstLine="708"/>
        <w:jc w:val="center"/>
        <w:rPr>
          <w:rFonts w:ascii="Times New Roman" w:hAnsi="Times New Roman" w:cs="Times New Roman"/>
          <w:b/>
          <w:sz w:val="28"/>
          <w:szCs w:val="28"/>
          <w:lang w:val="en-US"/>
        </w:rPr>
      </w:pPr>
      <w:r w:rsidRPr="006B7E8B">
        <w:rPr>
          <w:rFonts w:ascii="Times New Roman" w:hAnsi="Times New Roman" w:cs="Times New Roman"/>
          <w:b/>
          <w:bCs/>
          <w:sz w:val="28"/>
          <w:szCs w:val="28"/>
          <w:lang w:val="en-US"/>
        </w:rPr>
        <w:t xml:space="preserve">Qrafik 3.1. </w:t>
      </w:r>
      <w:r w:rsidRPr="006B7E8B">
        <w:rPr>
          <w:rFonts w:ascii="Times New Roman" w:hAnsi="Times New Roman" w:cs="Times New Roman"/>
          <w:bCs/>
          <w:sz w:val="28"/>
          <w:szCs w:val="28"/>
          <w:lang w:val="en-US"/>
        </w:rPr>
        <w:t>Bank sektorunun aktivləri</w:t>
      </w:r>
      <w:r w:rsidRPr="006B7E8B">
        <w:rPr>
          <w:rFonts w:ascii="Times New Roman" w:hAnsi="Times New Roman" w:cs="Times New Roman"/>
          <w:sz w:val="28"/>
          <w:szCs w:val="28"/>
          <w:lang w:val="en-US"/>
        </w:rPr>
        <w:t>, </w:t>
      </w:r>
      <w:r w:rsidRPr="006B7E8B">
        <w:rPr>
          <w:rFonts w:ascii="Times New Roman" w:hAnsi="Times New Roman" w:cs="Times New Roman"/>
          <w:bCs/>
          <w:i/>
          <w:iCs/>
          <w:sz w:val="28"/>
          <w:szCs w:val="28"/>
          <w:lang w:val="en-US"/>
        </w:rPr>
        <w:t>2013-2017-ci illərdə milyon manatla</w:t>
      </w:r>
    </w:p>
    <w:p w:rsidR="007F7AC2" w:rsidRPr="006B7E8B" w:rsidRDefault="00F84306" w:rsidP="00F84306">
      <w:p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noProof/>
          <w:sz w:val="32"/>
          <w:szCs w:val="24"/>
          <w:lang w:val="en-US"/>
        </w:rPr>
        <w:drawing>
          <wp:inline distT="0" distB="0" distL="0" distR="0" wp14:anchorId="4740D2DC" wp14:editId="1CE60B21">
            <wp:extent cx="5940425" cy="2169093"/>
            <wp:effectExtent l="0" t="0" r="3175" b="3175"/>
            <wp:docPr id="7" name="Рисунок 7" descr="https://bakuresearchinstitute.org/wp-content/uploads/2018/05/image1-4-1024x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kuresearchinstitute.org/wp-content/uploads/2018/05/image1-4-1024x37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169093"/>
                    </a:xfrm>
                    <a:prstGeom prst="rect">
                      <a:avLst/>
                    </a:prstGeom>
                    <a:noFill/>
                    <a:ln>
                      <a:noFill/>
                    </a:ln>
                  </pic:spPr>
                </pic:pic>
              </a:graphicData>
            </a:graphic>
          </wp:inline>
        </w:drawing>
      </w:r>
    </w:p>
    <w:p w:rsidR="00062F3B" w:rsidRPr="006B7E8B" w:rsidRDefault="00062F3B" w:rsidP="00062F3B">
      <w:pPr>
        <w:autoSpaceDE w:val="0"/>
        <w:autoSpaceDN w:val="0"/>
        <w:adjustRightInd w:val="0"/>
        <w:spacing w:after="0" w:line="360" w:lineRule="auto"/>
        <w:ind w:firstLine="708"/>
        <w:jc w:val="both"/>
        <w:rPr>
          <w:rFonts w:ascii="Times New Roman" w:hAnsi="Times New Roman" w:cs="Times New Roman"/>
          <w:sz w:val="24"/>
          <w:szCs w:val="28"/>
          <w:lang w:val="az-Latn-AZ"/>
        </w:rPr>
      </w:pPr>
      <w:r w:rsidRPr="006B7E8B">
        <w:rPr>
          <w:rFonts w:ascii="Times New Roman" w:hAnsi="Times New Roman" w:cs="Times New Roman"/>
          <w:bCs/>
          <w:sz w:val="24"/>
          <w:szCs w:val="28"/>
          <w:lang w:val="az-Latn-AZ"/>
        </w:rPr>
        <w:t>Mənbə: Mərkəzi Bank və Maliyyə Bazarlarına Nəzarət Palatası</w:t>
      </w:r>
    </w:p>
    <w:p w:rsidR="00062F3B" w:rsidRPr="006B7E8B" w:rsidRDefault="00062F3B"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r w:rsidRPr="006B7E8B">
        <w:rPr>
          <w:rFonts w:ascii="Times New Roman" w:hAnsi="Times New Roman" w:cs="Times New Roman"/>
          <w:sz w:val="28"/>
          <w:szCs w:val="28"/>
          <w:lang w:val="az-Latn-AZ"/>
        </w:rPr>
        <w:t xml:space="preserve">Bank </w:t>
      </w:r>
      <w:r w:rsidR="008E788F" w:rsidRPr="006B7E8B">
        <w:rPr>
          <w:rFonts w:ascii="Times New Roman" w:hAnsi="Times New Roman" w:cs="Times New Roman"/>
          <w:sz w:val="28"/>
          <w:szCs w:val="28"/>
          <w:lang w:val="az-Latn-AZ"/>
        </w:rPr>
        <w:t>sferasının</w:t>
      </w:r>
      <w:r w:rsidRPr="006B7E8B">
        <w:rPr>
          <w:rFonts w:ascii="Times New Roman" w:hAnsi="Times New Roman" w:cs="Times New Roman"/>
          <w:sz w:val="28"/>
          <w:szCs w:val="28"/>
          <w:lang w:val="az-Latn-AZ"/>
        </w:rPr>
        <w:t xml:space="preserve"> dollarlaşması </w:t>
      </w:r>
      <w:r w:rsidR="008E788F" w:rsidRPr="006B7E8B">
        <w:rPr>
          <w:rFonts w:ascii="Times New Roman" w:hAnsi="Times New Roman" w:cs="Times New Roman"/>
          <w:sz w:val="28"/>
          <w:szCs w:val="28"/>
          <w:lang w:val="az-Latn-AZ"/>
        </w:rPr>
        <w:t>nəzdində</w:t>
      </w:r>
      <w:r w:rsidRPr="006B7E8B">
        <w:rPr>
          <w:rFonts w:ascii="Times New Roman" w:hAnsi="Times New Roman" w:cs="Times New Roman"/>
          <w:sz w:val="28"/>
          <w:szCs w:val="28"/>
          <w:lang w:val="az-Latn-AZ"/>
        </w:rPr>
        <w:t xml:space="preserve"> nominal ÜDM-in </w:t>
      </w:r>
      <w:r w:rsidR="008E788F" w:rsidRPr="006B7E8B">
        <w:rPr>
          <w:rFonts w:ascii="Times New Roman" w:hAnsi="Times New Roman" w:cs="Times New Roman"/>
          <w:sz w:val="28"/>
          <w:szCs w:val="28"/>
          <w:lang w:val="az-Latn-AZ"/>
        </w:rPr>
        <w:t>aşağı düşməsi</w:t>
      </w:r>
      <w:r w:rsidRPr="006B7E8B">
        <w:rPr>
          <w:rFonts w:ascii="Times New Roman" w:hAnsi="Times New Roman" w:cs="Times New Roman"/>
          <w:sz w:val="28"/>
          <w:szCs w:val="28"/>
          <w:lang w:val="az-Latn-AZ"/>
        </w:rPr>
        <w:t xml:space="preserve"> bank aktivlərinin ÜDM-də </w:t>
      </w:r>
      <w:r w:rsidR="008E788F" w:rsidRPr="006B7E8B">
        <w:rPr>
          <w:rFonts w:ascii="Times New Roman" w:hAnsi="Times New Roman" w:cs="Times New Roman"/>
          <w:sz w:val="28"/>
          <w:szCs w:val="28"/>
          <w:lang w:val="az-Latn-AZ"/>
        </w:rPr>
        <w:t>hissəsini</w:t>
      </w:r>
      <w:r w:rsidRPr="006B7E8B">
        <w:rPr>
          <w:rFonts w:ascii="Times New Roman" w:hAnsi="Times New Roman" w:cs="Times New Roman"/>
          <w:sz w:val="28"/>
          <w:szCs w:val="28"/>
          <w:lang w:val="az-Latn-AZ"/>
        </w:rPr>
        <w:t xml:space="preserve"> </w:t>
      </w:r>
      <w:r w:rsidR="008E788F" w:rsidRPr="006B7E8B">
        <w:rPr>
          <w:rFonts w:ascii="Times New Roman" w:hAnsi="Times New Roman" w:cs="Times New Roman"/>
          <w:sz w:val="28"/>
          <w:szCs w:val="28"/>
          <w:lang w:val="az-Latn-AZ"/>
        </w:rPr>
        <w:t>xeyli</w:t>
      </w:r>
      <w:r w:rsidRPr="006B7E8B">
        <w:rPr>
          <w:rFonts w:ascii="Times New Roman" w:hAnsi="Times New Roman" w:cs="Times New Roman"/>
          <w:sz w:val="28"/>
          <w:szCs w:val="28"/>
          <w:lang w:val="az-Latn-AZ"/>
        </w:rPr>
        <w:t xml:space="preserve"> dərəcədə </w:t>
      </w:r>
      <w:r w:rsidR="008E788F" w:rsidRPr="006B7E8B">
        <w:rPr>
          <w:rFonts w:ascii="Times New Roman" w:hAnsi="Times New Roman" w:cs="Times New Roman"/>
          <w:sz w:val="28"/>
          <w:szCs w:val="28"/>
          <w:lang w:val="az-Latn-AZ"/>
        </w:rPr>
        <w:t>yüksəltsə</w:t>
      </w:r>
      <w:r w:rsidRPr="006B7E8B">
        <w:rPr>
          <w:rFonts w:ascii="Times New Roman" w:hAnsi="Times New Roman" w:cs="Times New Roman"/>
          <w:sz w:val="28"/>
          <w:szCs w:val="28"/>
          <w:lang w:val="az-Latn-AZ"/>
        </w:rPr>
        <w:t xml:space="preserve"> d</w:t>
      </w:r>
      <w:r w:rsidR="008E788F" w:rsidRPr="006B7E8B">
        <w:rPr>
          <w:rFonts w:ascii="Times New Roman" w:hAnsi="Times New Roman" w:cs="Times New Roman"/>
          <w:sz w:val="28"/>
          <w:szCs w:val="28"/>
          <w:lang w:val="az-Latn-AZ"/>
        </w:rPr>
        <w:t>ə</w:t>
      </w:r>
      <w:r w:rsidRPr="006B7E8B">
        <w:rPr>
          <w:rFonts w:ascii="Times New Roman" w:hAnsi="Times New Roman" w:cs="Times New Roman"/>
          <w:sz w:val="28"/>
          <w:szCs w:val="28"/>
          <w:lang w:val="az-Latn-AZ"/>
        </w:rPr>
        <w:t xml:space="preserve">, bu </w:t>
      </w:r>
      <w:r w:rsidR="008E788F" w:rsidRPr="006B7E8B">
        <w:rPr>
          <w:rFonts w:ascii="Times New Roman" w:hAnsi="Times New Roman" w:cs="Times New Roman"/>
          <w:sz w:val="28"/>
          <w:szCs w:val="28"/>
          <w:lang w:val="az-Latn-AZ"/>
        </w:rPr>
        <w:t>yüksəliş</w:t>
      </w:r>
      <w:r w:rsidRPr="006B7E8B">
        <w:rPr>
          <w:rFonts w:ascii="Times New Roman" w:hAnsi="Times New Roman" w:cs="Times New Roman"/>
          <w:sz w:val="28"/>
          <w:szCs w:val="28"/>
          <w:lang w:val="az-Latn-AZ"/>
        </w:rPr>
        <w:t xml:space="preserve"> uzunmüddətli və dayanıqlı </w:t>
      </w:r>
      <w:r w:rsidR="008E788F" w:rsidRPr="006B7E8B">
        <w:rPr>
          <w:rFonts w:ascii="Times New Roman" w:hAnsi="Times New Roman" w:cs="Times New Roman"/>
          <w:sz w:val="28"/>
          <w:szCs w:val="28"/>
          <w:lang w:val="az-Latn-AZ"/>
        </w:rPr>
        <w:t>olmadı</w:t>
      </w:r>
      <w:r w:rsidRPr="006B7E8B">
        <w:rPr>
          <w:rFonts w:ascii="Times New Roman" w:hAnsi="Times New Roman" w:cs="Times New Roman"/>
          <w:sz w:val="28"/>
          <w:szCs w:val="28"/>
          <w:lang w:val="az-Latn-AZ"/>
        </w:rPr>
        <w:t xml:space="preserve">. Belə ki, 2013-cü ildə ÜDM-də 35,3%-lik paya </w:t>
      </w:r>
      <w:r w:rsidR="008E788F" w:rsidRPr="006B7E8B">
        <w:rPr>
          <w:rFonts w:ascii="Times New Roman" w:hAnsi="Times New Roman" w:cs="Times New Roman"/>
          <w:sz w:val="28"/>
          <w:szCs w:val="28"/>
          <w:lang w:val="az-Latn-AZ"/>
        </w:rPr>
        <w:t>sahib</w:t>
      </w:r>
      <w:r w:rsidRPr="006B7E8B">
        <w:rPr>
          <w:rFonts w:ascii="Times New Roman" w:hAnsi="Times New Roman" w:cs="Times New Roman"/>
          <w:sz w:val="28"/>
          <w:szCs w:val="28"/>
          <w:lang w:val="az-Latn-AZ"/>
        </w:rPr>
        <w:t xml:space="preserve"> bank aktivləri “devalvasiya ili”ndə özünün ən yüksək </w:t>
      </w:r>
      <w:r w:rsidR="008E788F" w:rsidRPr="006B7E8B">
        <w:rPr>
          <w:rFonts w:ascii="Times New Roman" w:hAnsi="Times New Roman" w:cs="Times New Roman"/>
          <w:sz w:val="28"/>
          <w:szCs w:val="28"/>
          <w:lang w:val="az-Latn-AZ"/>
        </w:rPr>
        <w:t>dərəcəsinə</w:t>
      </w:r>
      <w:r w:rsidRPr="006B7E8B">
        <w:rPr>
          <w:rFonts w:ascii="Times New Roman" w:hAnsi="Times New Roman" w:cs="Times New Roman"/>
          <w:sz w:val="28"/>
          <w:szCs w:val="28"/>
          <w:lang w:val="az-Latn-AZ"/>
        </w:rPr>
        <w:t xml:space="preserve"> – 64,2%-ə </w:t>
      </w:r>
      <w:r w:rsidR="008E788F" w:rsidRPr="006B7E8B">
        <w:rPr>
          <w:rFonts w:ascii="Times New Roman" w:hAnsi="Times New Roman" w:cs="Times New Roman"/>
          <w:sz w:val="28"/>
          <w:szCs w:val="28"/>
          <w:lang w:val="az-Latn-AZ"/>
        </w:rPr>
        <w:t>çatıb</w:t>
      </w:r>
      <w:r w:rsidRPr="006B7E8B">
        <w:rPr>
          <w:rFonts w:ascii="Times New Roman" w:hAnsi="Times New Roman" w:cs="Times New Roman"/>
          <w:sz w:val="28"/>
          <w:szCs w:val="28"/>
          <w:lang w:val="az-Latn-AZ"/>
        </w:rPr>
        <w:t xml:space="preserve">, ancaq </w:t>
      </w:r>
      <w:r w:rsidR="008E788F" w:rsidRPr="006B7E8B">
        <w:rPr>
          <w:rFonts w:ascii="Times New Roman" w:hAnsi="Times New Roman" w:cs="Times New Roman"/>
          <w:sz w:val="28"/>
          <w:szCs w:val="28"/>
          <w:lang w:val="az-Latn-AZ"/>
        </w:rPr>
        <w:t xml:space="preserve">bundan </w:t>
      </w:r>
      <w:r w:rsidRPr="006B7E8B">
        <w:rPr>
          <w:rFonts w:ascii="Times New Roman" w:hAnsi="Times New Roman" w:cs="Times New Roman"/>
          <w:sz w:val="28"/>
          <w:szCs w:val="28"/>
          <w:lang w:val="az-Latn-AZ"/>
        </w:rPr>
        <w:t xml:space="preserve">sonrakı illərdə yenidən </w:t>
      </w:r>
      <w:r w:rsidR="008E788F" w:rsidRPr="006B7E8B">
        <w:rPr>
          <w:rFonts w:ascii="Times New Roman" w:hAnsi="Times New Roman" w:cs="Times New Roman"/>
          <w:sz w:val="28"/>
          <w:szCs w:val="28"/>
          <w:lang w:val="az-Latn-AZ"/>
        </w:rPr>
        <w:t>aşağı düşərək</w:t>
      </w:r>
      <w:r w:rsidRPr="006B7E8B">
        <w:rPr>
          <w:rFonts w:ascii="Times New Roman" w:hAnsi="Times New Roman" w:cs="Times New Roman"/>
          <w:sz w:val="28"/>
          <w:szCs w:val="28"/>
          <w:lang w:val="az-Latn-AZ"/>
        </w:rPr>
        <w:t xml:space="preserve"> 2017-ci ildə 39,8%-ə qədər </w:t>
      </w:r>
      <w:r w:rsidR="00A84E21" w:rsidRPr="006B7E8B">
        <w:rPr>
          <w:rFonts w:ascii="Times New Roman" w:hAnsi="Times New Roman" w:cs="Times New Roman"/>
          <w:sz w:val="28"/>
          <w:szCs w:val="28"/>
          <w:lang w:val="az-Latn-AZ"/>
        </w:rPr>
        <w:t>azalıb</w:t>
      </w:r>
      <w:r w:rsidRPr="006B7E8B">
        <w:rPr>
          <w:rFonts w:ascii="Times New Roman" w:hAnsi="Times New Roman" w:cs="Times New Roman"/>
          <w:sz w:val="28"/>
          <w:szCs w:val="28"/>
          <w:lang w:val="az-Latn-AZ"/>
        </w:rPr>
        <w:t xml:space="preserve">. “Devalvasiya ili”ndə aktivlərin </w:t>
      </w:r>
      <w:r w:rsidR="00A84E21" w:rsidRPr="006B7E8B">
        <w:rPr>
          <w:rFonts w:ascii="Times New Roman" w:hAnsi="Times New Roman" w:cs="Times New Roman"/>
          <w:sz w:val="28"/>
          <w:szCs w:val="28"/>
          <w:lang w:val="az-Latn-AZ"/>
        </w:rPr>
        <w:t>hissəsinin</w:t>
      </w:r>
      <w:r w:rsidRPr="006B7E8B">
        <w:rPr>
          <w:rFonts w:ascii="Times New Roman" w:hAnsi="Times New Roman" w:cs="Times New Roman"/>
          <w:sz w:val="28"/>
          <w:szCs w:val="28"/>
          <w:lang w:val="az-Latn-AZ"/>
        </w:rPr>
        <w:t xml:space="preserve"> </w:t>
      </w:r>
      <w:r w:rsidR="00A84E21" w:rsidRPr="006B7E8B">
        <w:rPr>
          <w:rFonts w:ascii="Times New Roman" w:hAnsi="Times New Roman" w:cs="Times New Roman"/>
          <w:sz w:val="28"/>
          <w:szCs w:val="28"/>
          <w:lang w:val="az-Latn-AZ"/>
        </w:rPr>
        <w:t>yüksəlməsinə</w:t>
      </w:r>
      <w:r w:rsidRPr="006B7E8B">
        <w:rPr>
          <w:rFonts w:ascii="Times New Roman" w:hAnsi="Times New Roman" w:cs="Times New Roman"/>
          <w:sz w:val="28"/>
          <w:szCs w:val="28"/>
          <w:lang w:val="az-Latn-AZ"/>
        </w:rPr>
        <w:t xml:space="preserve"> səbəb aktivlərin dollarlaşması </w:t>
      </w:r>
      <w:r w:rsidR="00A84E21" w:rsidRPr="006B7E8B">
        <w:rPr>
          <w:rFonts w:ascii="Times New Roman" w:hAnsi="Times New Roman" w:cs="Times New Roman"/>
          <w:sz w:val="28"/>
          <w:szCs w:val="28"/>
          <w:lang w:val="az-Latn-AZ"/>
        </w:rPr>
        <w:t>dərəcəsinin</w:t>
      </w:r>
      <w:r w:rsidRPr="006B7E8B">
        <w:rPr>
          <w:rFonts w:ascii="Times New Roman" w:hAnsi="Times New Roman" w:cs="Times New Roman"/>
          <w:sz w:val="28"/>
          <w:szCs w:val="28"/>
          <w:lang w:val="az-Latn-AZ"/>
        </w:rPr>
        <w:t xml:space="preserve"> </w:t>
      </w:r>
      <w:r w:rsidR="00A84E21" w:rsidRPr="006B7E8B">
        <w:rPr>
          <w:rFonts w:ascii="Times New Roman" w:hAnsi="Times New Roman" w:cs="Times New Roman"/>
          <w:sz w:val="28"/>
          <w:szCs w:val="28"/>
          <w:lang w:val="az-Latn-AZ"/>
        </w:rPr>
        <w:t>çoxalması</w:t>
      </w:r>
      <w:r w:rsidRPr="006B7E8B">
        <w:rPr>
          <w:rFonts w:ascii="Times New Roman" w:hAnsi="Times New Roman" w:cs="Times New Roman"/>
          <w:sz w:val="28"/>
          <w:szCs w:val="28"/>
          <w:lang w:val="az-Latn-AZ"/>
        </w:rPr>
        <w:t xml:space="preserve"> ilə </w:t>
      </w:r>
      <w:r w:rsidR="00A84E21" w:rsidRPr="006B7E8B">
        <w:rPr>
          <w:rFonts w:ascii="Times New Roman" w:hAnsi="Times New Roman" w:cs="Times New Roman"/>
          <w:sz w:val="28"/>
          <w:szCs w:val="28"/>
          <w:lang w:val="az-Latn-AZ"/>
        </w:rPr>
        <w:t>əlaqədardır</w:t>
      </w:r>
      <w:r w:rsidRPr="006B7E8B">
        <w:rPr>
          <w:rFonts w:ascii="Times New Roman" w:hAnsi="Times New Roman" w:cs="Times New Roman"/>
          <w:sz w:val="28"/>
          <w:szCs w:val="28"/>
          <w:lang w:val="az-Latn-AZ"/>
        </w:rPr>
        <w:t>.</w:t>
      </w:r>
      <w:r w:rsidRPr="006B7E8B">
        <w:rPr>
          <w:rFonts w:ascii="Times New Roman" w:hAnsi="Times New Roman" w:cs="Times New Roman"/>
          <w:bCs/>
          <w:sz w:val="28"/>
          <w:szCs w:val="28"/>
          <w:lang w:val="az-Latn-AZ"/>
        </w:rPr>
        <w:t xml:space="preserve"> (Qrafik </w:t>
      </w:r>
      <w:r w:rsidR="0034065B" w:rsidRPr="006B7E8B">
        <w:rPr>
          <w:rFonts w:ascii="Times New Roman" w:hAnsi="Times New Roman" w:cs="Times New Roman"/>
          <w:bCs/>
          <w:sz w:val="28"/>
          <w:szCs w:val="28"/>
          <w:lang w:val="az-Latn-AZ"/>
        </w:rPr>
        <w:t>3.2</w:t>
      </w:r>
      <w:r w:rsidRPr="006B7E8B">
        <w:rPr>
          <w:rFonts w:ascii="Times New Roman" w:hAnsi="Times New Roman" w:cs="Times New Roman"/>
          <w:bCs/>
          <w:sz w:val="28"/>
          <w:szCs w:val="28"/>
          <w:lang w:val="az-Latn-AZ"/>
        </w:rPr>
        <w:t>)</w:t>
      </w:r>
    </w:p>
    <w:p w:rsidR="0034065B" w:rsidRPr="006B7E8B" w:rsidRDefault="0034065B" w:rsidP="0034065B">
      <w:pPr>
        <w:autoSpaceDE w:val="0"/>
        <w:autoSpaceDN w:val="0"/>
        <w:adjustRightInd w:val="0"/>
        <w:spacing w:after="0" w:line="360" w:lineRule="auto"/>
        <w:ind w:firstLine="708"/>
        <w:jc w:val="center"/>
        <w:rPr>
          <w:rFonts w:ascii="Times New Roman" w:hAnsi="Times New Roman" w:cs="Times New Roman"/>
          <w:b/>
          <w:sz w:val="28"/>
          <w:szCs w:val="28"/>
        </w:rPr>
      </w:pPr>
      <w:r w:rsidRPr="006B7E8B">
        <w:rPr>
          <w:rFonts w:ascii="Times New Roman" w:hAnsi="Times New Roman" w:cs="Times New Roman"/>
          <w:b/>
          <w:bCs/>
          <w:sz w:val="28"/>
          <w:szCs w:val="28"/>
        </w:rPr>
        <w:t xml:space="preserve">Qrafik </w:t>
      </w:r>
      <w:r w:rsidR="00C724BF" w:rsidRPr="006B7E8B">
        <w:rPr>
          <w:rFonts w:ascii="Times New Roman" w:hAnsi="Times New Roman" w:cs="Times New Roman"/>
          <w:b/>
          <w:bCs/>
          <w:sz w:val="28"/>
          <w:szCs w:val="28"/>
          <w:lang w:val="az-Latn-AZ"/>
        </w:rPr>
        <w:t>3.</w:t>
      </w:r>
      <w:r w:rsidRPr="006B7E8B">
        <w:rPr>
          <w:rFonts w:ascii="Times New Roman" w:hAnsi="Times New Roman" w:cs="Times New Roman"/>
          <w:b/>
          <w:bCs/>
          <w:sz w:val="28"/>
          <w:szCs w:val="28"/>
        </w:rPr>
        <w:t xml:space="preserve">2. </w:t>
      </w:r>
      <w:r w:rsidRPr="006B7E8B">
        <w:rPr>
          <w:rFonts w:ascii="Times New Roman" w:hAnsi="Times New Roman" w:cs="Times New Roman"/>
          <w:bCs/>
          <w:sz w:val="28"/>
          <w:szCs w:val="28"/>
        </w:rPr>
        <w:t>Kredit qoyuluşlarının sahələr üzrə dinamikası, milyon AZN (2013-2017)</w:t>
      </w:r>
    </w:p>
    <w:p w:rsidR="00062F3B" w:rsidRPr="006B7E8B" w:rsidRDefault="00062F3B" w:rsidP="00062F3B">
      <w:pPr>
        <w:autoSpaceDE w:val="0"/>
        <w:autoSpaceDN w:val="0"/>
        <w:adjustRightInd w:val="0"/>
        <w:spacing w:after="0" w:line="360" w:lineRule="auto"/>
        <w:rPr>
          <w:rFonts w:ascii="Times New Roman" w:hAnsi="Times New Roman" w:cs="Times New Roman"/>
          <w:b/>
          <w:sz w:val="28"/>
          <w:szCs w:val="28"/>
        </w:rPr>
      </w:pPr>
      <w:r w:rsidRPr="006B7E8B">
        <w:rPr>
          <w:rFonts w:ascii="Times New Roman" w:hAnsi="Times New Roman" w:cs="Times New Roman"/>
          <w:b/>
          <w:noProof/>
          <w:sz w:val="28"/>
          <w:szCs w:val="28"/>
          <w:lang w:val="en-US"/>
        </w:rPr>
        <w:drawing>
          <wp:inline distT="0" distB="0" distL="0" distR="0" wp14:anchorId="4045B639" wp14:editId="4D6C7C40">
            <wp:extent cx="6241311" cy="2655117"/>
            <wp:effectExtent l="0" t="0" r="7620" b="0"/>
            <wp:docPr id="8" name="Рисунок 8" descr="https://bakuresearchinstitute.org/wp-content/uploads/2018/05/image4-3-1024x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kuresearchinstitute.org/wp-content/uploads/2018/05/image4-3-1024x43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8403" cy="2653880"/>
                    </a:xfrm>
                    <a:prstGeom prst="rect">
                      <a:avLst/>
                    </a:prstGeom>
                    <a:noFill/>
                    <a:ln>
                      <a:noFill/>
                    </a:ln>
                  </pic:spPr>
                </pic:pic>
              </a:graphicData>
            </a:graphic>
          </wp:inline>
        </w:drawing>
      </w:r>
    </w:p>
    <w:p w:rsidR="00062F3B" w:rsidRPr="006B7E8B" w:rsidRDefault="00062F3B" w:rsidP="00062F3B">
      <w:pPr>
        <w:autoSpaceDE w:val="0"/>
        <w:autoSpaceDN w:val="0"/>
        <w:adjustRightInd w:val="0"/>
        <w:spacing w:after="0" w:line="360" w:lineRule="auto"/>
        <w:ind w:firstLine="708"/>
        <w:rPr>
          <w:rFonts w:ascii="Times New Roman" w:hAnsi="Times New Roman" w:cs="Times New Roman"/>
          <w:sz w:val="24"/>
          <w:szCs w:val="28"/>
        </w:rPr>
      </w:pPr>
      <w:r w:rsidRPr="006B7E8B">
        <w:rPr>
          <w:rFonts w:ascii="Times New Roman" w:hAnsi="Times New Roman" w:cs="Times New Roman"/>
          <w:b/>
          <w:bCs/>
          <w:sz w:val="24"/>
          <w:szCs w:val="28"/>
        </w:rPr>
        <w:t>Mənbə:</w:t>
      </w:r>
      <w:r w:rsidRPr="006B7E8B">
        <w:rPr>
          <w:rFonts w:ascii="Times New Roman" w:hAnsi="Times New Roman" w:cs="Times New Roman"/>
          <w:bCs/>
          <w:sz w:val="24"/>
          <w:szCs w:val="28"/>
        </w:rPr>
        <w:t xml:space="preserve"> Mərkəzi Bank</w:t>
      </w:r>
    </w:p>
    <w:p w:rsidR="00062F3B" w:rsidRPr="006B7E8B" w:rsidRDefault="00062F3B" w:rsidP="00062F3B">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t xml:space="preserve">Devalvasiyadan </w:t>
      </w:r>
      <w:r w:rsidR="003E1549" w:rsidRPr="006B7E8B">
        <w:rPr>
          <w:rFonts w:ascii="Times New Roman" w:hAnsi="Times New Roman" w:cs="Times New Roman"/>
          <w:sz w:val="28"/>
          <w:szCs w:val="28"/>
          <w:lang w:val="az-Latn-AZ"/>
        </w:rPr>
        <w:t>əvvəlki</w:t>
      </w:r>
      <w:r w:rsidRPr="006B7E8B">
        <w:rPr>
          <w:rFonts w:ascii="Times New Roman" w:hAnsi="Times New Roman" w:cs="Times New Roman"/>
          <w:sz w:val="28"/>
          <w:szCs w:val="28"/>
        </w:rPr>
        <w:t xml:space="preserve"> dövrdə kreditləşmənin </w:t>
      </w:r>
      <w:r w:rsidR="003E1549" w:rsidRPr="006B7E8B">
        <w:rPr>
          <w:rFonts w:ascii="Times New Roman" w:hAnsi="Times New Roman" w:cs="Times New Roman"/>
          <w:sz w:val="28"/>
          <w:szCs w:val="28"/>
          <w:lang w:val="az-Latn-AZ"/>
        </w:rPr>
        <w:t>yüksəlməsi</w:t>
      </w:r>
      <w:r w:rsidRPr="006B7E8B">
        <w:rPr>
          <w:rFonts w:ascii="Times New Roman" w:hAnsi="Times New Roman" w:cs="Times New Roman"/>
          <w:sz w:val="28"/>
          <w:szCs w:val="28"/>
        </w:rPr>
        <w:t xml:space="preserve"> sonradan </w:t>
      </w:r>
      <w:r w:rsidR="003E1549" w:rsidRPr="006B7E8B">
        <w:rPr>
          <w:rFonts w:ascii="Times New Roman" w:hAnsi="Times New Roman" w:cs="Times New Roman"/>
          <w:sz w:val="28"/>
          <w:szCs w:val="28"/>
          <w:lang w:val="az-Latn-AZ"/>
        </w:rPr>
        <w:t>aşağı düşmə</w:t>
      </w:r>
      <w:r w:rsidRPr="006B7E8B">
        <w:rPr>
          <w:rFonts w:ascii="Times New Roman" w:hAnsi="Times New Roman" w:cs="Times New Roman"/>
          <w:sz w:val="28"/>
          <w:szCs w:val="28"/>
        </w:rPr>
        <w:t xml:space="preserve"> ilə </w:t>
      </w:r>
      <w:r w:rsidR="003E1549" w:rsidRPr="006B7E8B">
        <w:rPr>
          <w:rFonts w:ascii="Times New Roman" w:hAnsi="Times New Roman" w:cs="Times New Roman"/>
          <w:sz w:val="28"/>
          <w:szCs w:val="28"/>
          <w:lang w:val="az-Latn-AZ"/>
        </w:rPr>
        <w:t>izlənilib</w:t>
      </w:r>
      <w:r w:rsidR="003E1549" w:rsidRPr="006B7E8B">
        <w:rPr>
          <w:rFonts w:ascii="Times New Roman" w:hAnsi="Times New Roman" w:cs="Times New Roman"/>
          <w:sz w:val="28"/>
          <w:szCs w:val="28"/>
        </w:rPr>
        <w:t>. Artım</w:t>
      </w:r>
      <w:r w:rsidR="003E1549" w:rsidRPr="006B7E8B">
        <w:rPr>
          <w:rFonts w:ascii="Times New Roman" w:hAnsi="Times New Roman" w:cs="Times New Roman"/>
          <w:sz w:val="28"/>
          <w:szCs w:val="28"/>
          <w:lang w:val="az-Latn-AZ"/>
        </w:rPr>
        <w:t>a</w:t>
      </w:r>
      <w:r w:rsidRPr="006B7E8B">
        <w:rPr>
          <w:rFonts w:ascii="Times New Roman" w:hAnsi="Times New Roman" w:cs="Times New Roman"/>
          <w:sz w:val="28"/>
          <w:szCs w:val="28"/>
        </w:rPr>
        <w:t xml:space="preserve"> </w:t>
      </w:r>
      <w:r w:rsidR="003E1549" w:rsidRPr="006B7E8B">
        <w:rPr>
          <w:rFonts w:ascii="Times New Roman" w:hAnsi="Times New Roman" w:cs="Times New Roman"/>
          <w:sz w:val="28"/>
          <w:szCs w:val="28"/>
          <w:lang w:val="az-Latn-AZ"/>
        </w:rPr>
        <w:t>səbəb olan amillər içində</w:t>
      </w:r>
      <w:r w:rsidRPr="006B7E8B">
        <w:rPr>
          <w:rFonts w:ascii="Times New Roman" w:hAnsi="Times New Roman" w:cs="Times New Roman"/>
          <w:sz w:val="28"/>
          <w:szCs w:val="28"/>
        </w:rPr>
        <w:t xml:space="preserve"> təkcə kreditin valyuta </w:t>
      </w:r>
      <w:r w:rsidR="003E1549" w:rsidRPr="006B7E8B">
        <w:rPr>
          <w:rFonts w:ascii="Times New Roman" w:hAnsi="Times New Roman" w:cs="Times New Roman"/>
          <w:sz w:val="28"/>
          <w:szCs w:val="28"/>
          <w:lang w:val="az-Latn-AZ"/>
        </w:rPr>
        <w:t>quruluşunun</w:t>
      </w:r>
      <w:r w:rsidRPr="006B7E8B">
        <w:rPr>
          <w:rFonts w:ascii="Times New Roman" w:hAnsi="Times New Roman" w:cs="Times New Roman"/>
          <w:sz w:val="28"/>
          <w:szCs w:val="28"/>
        </w:rPr>
        <w:t xml:space="preserve"> dollarlaşması </w:t>
      </w:r>
      <w:r w:rsidR="003E1549" w:rsidRPr="006B7E8B">
        <w:rPr>
          <w:rFonts w:ascii="Times New Roman" w:hAnsi="Times New Roman" w:cs="Times New Roman"/>
          <w:sz w:val="28"/>
          <w:szCs w:val="28"/>
          <w:lang w:val="az-Latn-AZ"/>
        </w:rPr>
        <w:t>yox</w:t>
      </w:r>
      <w:r w:rsidRPr="006B7E8B">
        <w:rPr>
          <w:rFonts w:ascii="Times New Roman" w:hAnsi="Times New Roman" w:cs="Times New Roman"/>
          <w:sz w:val="28"/>
          <w:szCs w:val="28"/>
        </w:rPr>
        <w:t xml:space="preserve">, </w:t>
      </w:r>
      <w:r w:rsidR="003E1549" w:rsidRPr="006B7E8B">
        <w:rPr>
          <w:rFonts w:ascii="Times New Roman" w:hAnsi="Times New Roman" w:cs="Times New Roman"/>
          <w:sz w:val="28"/>
          <w:szCs w:val="28"/>
          <w:lang w:val="az-Latn-AZ"/>
        </w:rPr>
        <w:t>bununla birlikdə</w:t>
      </w:r>
      <w:r w:rsidRPr="006B7E8B">
        <w:rPr>
          <w:rFonts w:ascii="Times New Roman" w:hAnsi="Times New Roman" w:cs="Times New Roman"/>
          <w:sz w:val="28"/>
          <w:szCs w:val="28"/>
        </w:rPr>
        <w:t xml:space="preserve"> bankların aktiv maliyyələşmə aparması ilə </w:t>
      </w:r>
      <w:r w:rsidR="003E1549" w:rsidRPr="006B7E8B">
        <w:rPr>
          <w:rFonts w:ascii="Times New Roman" w:hAnsi="Times New Roman" w:cs="Times New Roman"/>
          <w:sz w:val="28"/>
          <w:szCs w:val="28"/>
          <w:lang w:val="az-Latn-AZ"/>
        </w:rPr>
        <w:t>əlaqədardır</w:t>
      </w:r>
      <w:r w:rsidRPr="006B7E8B">
        <w:rPr>
          <w:rFonts w:ascii="Times New Roman" w:hAnsi="Times New Roman" w:cs="Times New Roman"/>
          <w:sz w:val="28"/>
          <w:szCs w:val="28"/>
        </w:rPr>
        <w:t xml:space="preserve">. Ancaq </w:t>
      </w:r>
      <w:r w:rsidR="003E1549" w:rsidRPr="006B7E8B">
        <w:rPr>
          <w:rFonts w:ascii="Times New Roman" w:hAnsi="Times New Roman" w:cs="Times New Roman"/>
          <w:sz w:val="28"/>
          <w:szCs w:val="28"/>
          <w:lang w:val="az-Latn-AZ"/>
        </w:rPr>
        <w:t>aşağı düşməzə</w:t>
      </w:r>
      <w:r w:rsidRPr="006B7E8B">
        <w:rPr>
          <w:rFonts w:ascii="Times New Roman" w:hAnsi="Times New Roman" w:cs="Times New Roman"/>
          <w:sz w:val="28"/>
          <w:szCs w:val="28"/>
        </w:rPr>
        <w:t xml:space="preserve"> səbəb problemli kreditlərin </w:t>
      </w:r>
      <w:r w:rsidR="003E1549" w:rsidRPr="006B7E8B">
        <w:rPr>
          <w:rFonts w:ascii="Times New Roman" w:hAnsi="Times New Roman" w:cs="Times New Roman"/>
          <w:sz w:val="28"/>
          <w:szCs w:val="28"/>
          <w:lang w:val="az-Latn-AZ"/>
        </w:rPr>
        <w:t>çoxalması</w:t>
      </w:r>
      <w:r w:rsidRPr="006B7E8B">
        <w:rPr>
          <w:rFonts w:ascii="Times New Roman" w:hAnsi="Times New Roman" w:cs="Times New Roman"/>
          <w:sz w:val="28"/>
          <w:szCs w:val="28"/>
        </w:rPr>
        <w:t xml:space="preserve"> səbəbindən bank aktivlərinin qeyri-işlək </w:t>
      </w:r>
      <w:r w:rsidR="003E1549" w:rsidRPr="006B7E8B">
        <w:rPr>
          <w:rFonts w:ascii="Times New Roman" w:hAnsi="Times New Roman" w:cs="Times New Roman"/>
          <w:sz w:val="28"/>
          <w:szCs w:val="28"/>
          <w:lang w:val="az-Latn-AZ"/>
        </w:rPr>
        <w:t>vəziyyət alması</w:t>
      </w:r>
      <w:r w:rsidRPr="006B7E8B">
        <w:rPr>
          <w:rFonts w:ascii="Times New Roman" w:hAnsi="Times New Roman" w:cs="Times New Roman"/>
          <w:sz w:val="28"/>
          <w:szCs w:val="28"/>
        </w:rPr>
        <w:t>, müştərilərin dollar kreditlərin</w:t>
      </w:r>
      <w:r w:rsidR="003E1549" w:rsidRPr="006B7E8B">
        <w:rPr>
          <w:rFonts w:ascii="Times New Roman" w:hAnsi="Times New Roman" w:cs="Times New Roman"/>
          <w:sz w:val="28"/>
          <w:szCs w:val="28"/>
          <w:lang w:val="az-Latn-AZ"/>
        </w:rPr>
        <w:t>dən çıkinməsi</w:t>
      </w:r>
      <w:r w:rsidRPr="006B7E8B">
        <w:rPr>
          <w:rFonts w:ascii="Times New Roman" w:hAnsi="Times New Roman" w:cs="Times New Roman"/>
          <w:sz w:val="28"/>
          <w:szCs w:val="28"/>
        </w:rPr>
        <w:t xml:space="preserve">, </w:t>
      </w:r>
      <w:r w:rsidR="003E1549" w:rsidRPr="006B7E8B">
        <w:rPr>
          <w:rFonts w:ascii="Times New Roman" w:hAnsi="Times New Roman" w:cs="Times New Roman"/>
          <w:sz w:val="28"/>
          <w:szCs w:val="28"/>
          <w:lang w:val="az-Latn-AZ"/>
        </w:rPr>
        <w:t>eləcə də</w:t>
      </w:r>
      <w:r w:rsidRPr="006B7E8B">
        <w:rPr>
          <w:rFonts w:ascii="Times New Roman" w:hAnsi="Times New Roman" w:cs="Times New Roman"/>
          <w:sz w:val="28"/>
          <w:szCs w:val="28"/>
        </w:rPr>
        <w:t xml:space="preserve"> manatın dollara </w:t>
      </w:r>
      <w:r w:rsidR="003E1549" w:rsidRPr="006B7E8B">
        <w:rPr>
          <w:rFonts w:ascii="Times New Roman" w:hAnsi="Times New Roman" w:cs="Times New Roman"/>
          <w:sz w:val="28"/>
          <w:szCs w:val="28"/>
          <w:lang w:val="az-Latn-AZ"/>
        </w:rPr>
        <w:t>müqayisədə</w:t>
      </w:r>
      <w:r w:rsidRPr="006B7E8B">
        <w:rPr>
          <w:rFonts w:ascii="Times New Roman" w:hAnsi="Times New Roman" w:cs="Times New Roman"/>
          <w:sz w:val="28"/>
          <w:szCs w:val="28"/>
        </w:rPr>
        <w:t xml:space="preserve"> nisbətən bahalaşmasıdır. </w:t>
      </w:r>
      <w:r w:rsidR="00700BA3" w:rsidRPr="00700BA3">
        <w:rPr>
          <w:rFonts w:ascii="Times New Roman" w:hAnsi="Times New Roman" w:cs="Times New Roman"/>
          <w:sz w:val="28"/>
          <w:szCs w:val="28"/>
        </w:rPr>
        <w:t>Məsələn, ticarət və xidmət sektoru 34,5%, tikinti və əmlak sektoru 82,2%, sənaye və istehsal sahələri 68,1%, nəqliyyat və kommunikasiya sektoru 23,1%, kənd təsərrüfatı və emal sektoru 15,5%, istehlak kreditləri ci ildə% 45.1 azaldıldı</w:t>
      </w:r>
      <w:r w:rsidR="00700BA3">
        <w:rPr>
          <w:rFonts w:ascii="Times New Roman" w:hAnsi="Times New Roman" w:cs="Times New Roman"/>
          <w:sz w:val="28"/>
          <w:szCs w:val="28"/>
          <w:lang w:val="az-Latn-AZ"/>
        </w:rPr>
        <w:t>.</w:t>
      </w:r>
      <w:r w:rsidRPr="006B7E8B">
        <w:rPr>
          <w:rFonts w:ascii="Times New Roman" w:hAnsi="Times New Roman" w:cs="Times New Roman"/>
          <w:sz w:val="28"/>
          <w:szCs w:val="28"/>
        </w:rPr>
        <w:t> </w:t>
      </w:r>
      <w:r w:rsidRPr="006B7E8B">
        <w:rPr>
          <w:rFonts w:ascii="Times New Roman" w:hAnsi="Times New Roman" w:cs="Times New Roman"/>
          <w:bCs/>
          <w:sz w:val="28"/>
          <w:szCs w:val="28"/>
        </w:rPr>
        <w:t xml:space="preserve">(Qrafik </w:t>
      </w:r>
      <w:r w:rsidR="00C724BF" w:rsidRPr="006B7E8B">
        <w:rPr>
          <w:rFonts w:ascii="Times New Roman" w:hAnsi="Times New Roman" w:cs="Times New Roman"/>
          <w:bCs/>
          <w:sz w:val="28"/>
          <w:szCs w:val="28"/>
          <w:lang w:val="az-Latn-AZ"/>
        </w:rPr>
        <w:t>3.</w:t>
      </w:r>
      <w:r w:rsidRPr="006B7E8B">
        <w:rPr>
          <w:rFonts w:ascii="Times New Roman" w:hAnsi="Times New Roman" w:cs="Times New Roman"/>
          <w:bCs/>
          <w:sz w:val="28"/>
          <w:szCs w:val="28"/>
        </w:rPr>
        <w:t>2)</w:t>
      </w:r>
      <w:r w:rsidR="00405E6D" w:rsidRPr="006B7E8B">
        <w:rPr>
          <w:rFonts w:ascii="Times New Roman" w:hAnsi="Times New Roman" w:cs="Times New Roman"/>
          <w:bCs/>
          <w:sz w:val="28"/>
          <w:szCs w:val="28"/>
          <w:lang w:val="az-Latn-AZ"/>
        </w:rPr>
        <w:t>.</w:t>
      </w:r>
    </w:p>
    <w:p w:rsidR="00062F3B" w:rsidRPr="006B7E8B" w:rsidRDefault="00062F3B"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r w:rsidRPr="006B7E8B">
        <w:rPr>
          <w:rFonts w:ascii="Times New Roman" w:hAnsi="Times New Roman" w:cs="Times New Roman"/>
          <w:sz w:val="28"/>
          <w:szCs w:val="28"/>
          <w:lang w:val="az-Latn-AZ"/>
        </w:rPr>
        <w:t xml:space="preserve">Bankların </w:t>
      </w:r>
      <w:r w:rsidR="002F6D68" w:rsidRPr="006B7E8B">
        <w:rPr>
          <w:rFonts w:ascii="Times New Roman" w:hAnsi="Times New Roman" w:cs="Times New Roman"/>
          <w:sz w:val="28"/>
          <w:szCs w:val="28"/>
          <w:lang w:val="az-Latn-AZ"/>
        </w:rPr>
        <w:t>maliyyələrini</w:t>
      </w:r>
      <w:r w:rsidRPr="006B7E8B">
        <w:rPr>
          <w:rFonts w:ascii="Times New Roman" w:hAnsi="Times New Roman" w:cs="Times New Roman"/>
          <w:sz w:val="28"/>
          <w:szCs w:val="28"/>
          <w:lang w:val="az-Latn-AZ"/>
        </w:rPr>
        <w:t xml:space="preserve"> qeyri-işlək </w:t>
      </w:r>
      <w:r w:rsidR="002F6D68" w:rsidRPr="006B7E8B">
        <w:rPr>
          <w:rFonts w:ascii="Times New Roman" w:hAnsi="Times New Roman" w:cs="Times New Roman"/>
          <w:sz w:val="28"/>
          <w:szCs w:val="28"/>
          <w:lang w:val="az-Latn-AZ"/>
        </w:rPr>
        <w:t>hala salan</w:t>
      </w:r>
      <w:r w:rsidRPr="006B7E8B">
        <w:rPr>
          <w:rFonts w:ascii="Times New Roman" w:hAnsi="Times New Roman" w:cs="Times New Roman"/>
          <w:sz w:val="28"/>
          <w:szCs w:val="28"/>
          <w:lang w:val="az-Latn-AZ"/>
        </w:rPr>
        <w:t xml:space="preserve">, kreditləşməni </w:t>
      </w:r>
      <w:r w:rsidR="002F6D68" w:rsidRPr="006B7E8B">
        <w:rPr>
          <w:rFonts w:ascii="Times New Roman" w:hAnsi="Times New Roman" w:cs="Times New Roman"/>
          <w:sz w:val="28"/>
          <w:szCs w:val="28"/>
          <w:lang w:val="az-Latn-AZ"/>
        </w:rPr>
        <w:t>azaldan</w:t>
      </w:r>
      <w:r w:rsidRPr="006B7E8B">
        <w:rPr>
          <w:rFonts w:ascii="Times New Roman" w:hAnsi="Times New Roman" w:cs="Times New Roman"/>
          <w:sz w:val="28"/>
          <w:szCs w:val="28"/>
          <w:lang w:val="az-Latn-AZ"/>
        </w:rPr>
        <w:t xml:space="preserve"> və bəzi bankların bağlanmasını </w:t>
      </w:r>
      <w:r w:rsidR="002F6D68" w:rsidRPr="006B7E8B">
        <w:rPr>
          <w:rFonts w:ascii="Times New Roman" w:hAnsi="Times New Roman" w:cs="Times New Roman"/>
          <w:sz w:val="28"/>
          <w:szCs w:val="28"/>
          <w:lang w:val="az-Latn-AZ"/>
        </w:rPr>
        <w:t>əsas amil kimi qiymətləndirən</w:t>
      </w:r>
      <w:r w:rsidRPr="006B7E8B">
        <w:rPr>
          <w:rFonts w:ascii="Times New Roman" w:hAnsi="Times New Roman" w:cs="Times New Roman"/>
          <w:sz w:val="28"/>
          <w:szCs w:val="28"/>
          <w:lang w:val="az-Latn-AZ"/>
        </w:rPr>
        <w:t xml:space="preserve"> </w:t>
      </w:r>
      <w:r w:rsidR="002F6D68" w:rsidRPr="006B7E8B">
        <w:rPr>
          <w:rFonts w:ascii="Times New Roman" w:hAnsi="Times New Roman" w:cs="Times New Roman"/>
          <w:sz w:val="28"/>
          <w:szCs w:val="28"/>
          <w:lang w:val="az-Latn-AZ"/>
        </w:rPr>
        <w:t>zaman</w:t>
      </w:r>
      <w:r w:rsidRPr="006B7E8B">
        <w:rPr>
          <w:rFonts w:ascii="Times New Roman" w:hAnsi="Times New Roman" w:cs="Times New Roman"/>
          <w:sz w:val="28"/>
          <w:szCs w:val="28"/>
          <w:lang w:val="az-Latn-AZ"/>
        </w:rPr>
        <w:t xml:space="preserve"> keçmiş kreditlər devalvasiyadan sonra kəskin </w:t>
      </w:r>
      <w:r w:rsidR="00CE7A85" w:rsidRPr="006B7E8B">
        <w:rPr>
          <w:rFonts w:ascii="Times New Roman" w:hAnsi="Times New Roman" w:cs="Times New Roman"/>
          <w:sz w:val="28"/>
          <w:szCs w:val="28"/>
          <w:lang w:val="az-Latn-AZ"/>
        </w:rPr>
        <w:t>yüksəldi</w:t>
      </w:r>
      <w:r w:rsidRPr="006B7E8B">
        <w:rPr>
          <w:rFonts w:ascii="Times New Roman" w:hAnsi="Times New Roman" w:cs="Times New Roman"/>
          <w:sz w:val="28"/>
          <w:szCs w:val="28"/>
          <w:lang w:val="az-Latn-AZ"/>
        </w:rPr>
        <w:t>. </w:t>
      </w:r>
      <w:hyperlink r:id="rId17" w:history="1">
        <w:r w:rsidRPr="006B7E8B">
          <w:rPr>
            <w:rStyle w:val="Hyperlink"/>
            <w:rFonts w:ascii="Times New Roman" w:hAnsi="Times New Roman" w:cs="Times New Roman"/>
            <w:color w:val="auto"/>
            <w:sz w:val="28"/>
            <w:szCs w:val="28"/>
            <w:u w:val="none"/>
          </w:rPr>
          <w:t xml:space="preserve">Mərkəzi Bankın rəsmi məlumatına </w:t>
        </w:r>
        <w:r w:rsidR="00DF4A6D" w:rsidRPr="006B7E8B">
          <w:rPr>
            <w:rStyle w:val="Hyperlink"/>
            <w:rFonts w:ascii="Times New Roman" w:hAnsi="Times New Roman" w:cs="Times New Roman"/>
            <w:color w:val="auto"/>
            <w:sz w:val="28"/>
            <w:szCs w:val="28"/>
            <w:u w:val="none"/>
            <w:lang w:val="az-Latn-AZ"/>
          </w:rPr>
          <w:t>əsasən</w:t>
        </w:r>
      </w:hyperlink>
      <w:r w:rsidRPr="006B7E8B">
        <w:rPr>
          <w:rFonts w:ascii="Times New Roman" w:hAnsi="Times New Roman" w:cs="Times New Roman"/>
          <w:sz w:val="28"/>
          <w:szCs w:val="28"/>
        </w:rPr>
        <w:t xml:space="preserve">, cəmi kreditlərdə problemli kreditlərin </w:t>
      </w:r>
      <w:r w:rsidR="00DF4A6D" w:rsidRPr="006B7E8B">
        <w:rPr>
          <w:rFonts w:ascii="Times New Roman" w:hAnsi="Times New Roman" w:cs="Times New Roman"/>
          <w:sz w:val="28"/>
          <w:szCs w:val="28"/>
          <w:lang w:val="az-Latn-AZ"/>
        </w:rPr>
        <w:t>hissəsi</w:t>
      </w:r>
      <w:r w:rsidRPr="006B7E8B">
        <w:rPr>
          <w:rFonts w:ascii="Times New Roman" w:hAnsi="Times New Roman" w:cs="Times New Roman"/>
          <w:sz w:val="28"/>
          <w:szCs w:val="28"/>
        </w:rPr>
        <w:t xml:space="preserve"> 2013-cü ildəki 5,1%-dən 2017-ci ildəki 13,8%-ə </w:t>
      </w:r>
      <w:r w:rsidR="00DF4A6D" w:rsidRPr="006B7E8B">
        <w:rPr>
          <w:rFonts w:ascii="Times New Roman" w:hAnsi="Times New Roman" w:cs="Times New Roman"/>
          <w:sz w:val="28"/>
          <w:szCs w:val="28"/>
          <w:lang w:val="az-Latn-AZ"/>
        </w:rPr>
        <w:t>kimi qalxmışdır</w:t>
      </w:r>
      <w:r w:rsidRPr="006B7E8B">
        <w:rPr>
          <w:rFonts w:ascii="Times New Roman" w:hAnsi="Times New Roman" w:cs="Times New Roman"/>
          <w:sz w:val="28"/>
          <w:szCs w:val="28"/>
        </w:rPr>
        <w:t xml:space="preserve">. </w:t>
      </w:r>
      <w:r w:rsidR="00DF4A6D" w:rsidRPr="006B7E8B">
        <w:rPr>
          <w:rFonts w:ascii="Times New Roman" w:hAnsi="Times New Roman" w:cs="Times New Roman"/>
          <w:sz w:val="28"/>
          <w:szCs w:val="28"/>
          <w:lang w:val="az-Latn-AZ"/>
        </w:rPr>
        <w:t>Bəhs olunan vəziyyət</w:t>
      </w:r>
      <w:r w:rsidRPr="006B7E8B">
        <w:rPr>
          <w:rFonts w:ascii="Times New Roman" w:hAnsi="Times New Roman" w:cs="Times New Roman"/>
          <w:sz w:val="28"/>
          <w:szCs w:val="28"/>
        </w:rPr>
        <w:t xml:space="preserve">, </w:t>
      </w:r>
      <w:r w:rsidR="00DF4A6D" w:rsidRPr="006B7E8B">
        <w:rPr>
          <w:rFonts w:ascii="Times New Roman" w:hAnsi="Times New Roman" w:cs="Times New Roman"/>
          <w:sz w:val="28"/>
          <w:szCs w:val="28"/>
          <w:lang w:val="az-Latn-AZ"/>
        </w:rPr>
        <w:t>indiki dövr üçün</w:t>
      </w:r>
      <w:r w:rsidRPr="006B7E8B">
        <w:rPr>
          <w:rFonts w:ascii="Times New Roman" w:hAnsi="Times New Roman" w:cs="Times New Roman"/>
          <w:sz w:val="28"/>
          <w:szCs w:val="28"/>
        </w:rPr>
        <w:t xml:space="preserve"> bank sektoru üçün kritik hədd </w:t>
      </w:r>
      <w:r w:rsidR="00DF4A6D" w:rsidRPr="006B7E8B">
        <w:rPr>
          <w:rFonts w:ascii="Times New Roman" w:hAnsi="Times New Roman" w:cs="Times New Roman"/>
          <w:sz w:val="28"/>
          <w:szCs w:val="28"/>
          <w:lang w:val="az-Latn-AZ"/>
        </w:rPr>
        <w:t>hesab olunur</w:t>
      </w:r>
      <w:r w:rsidRPr="006B7E8B">
        <w:rPr>
          <w:rFonts w:ascii="Times New Roman" w:hAnsi="Times New Roman" w:cs="Times New Roman"/>
          <w:sz w:val="28"/>
          <w:szCs w:val="28"/>
        </w:rPr>
        <w:t xml:space="preserve">. Xarici valyutada </w:t>
      </w:r>
      <w:r w:rsidR="00DF4A6D" w:rsidRPr="006B7E8B">
        <w:rPr>
          <w:rFonts w:ascii="Times New Roman" w:hAnsi="Times New Roman" w:cs="Times New Roman"/>
          <w:sz w:val="28"/>
          <w:szCs w:val="28"/>
          <w:lang w:val="az-Latn-AZ"/>
        </w:rPr>
        <w:t>əldə olunmuş</w:t>
      </w:r>
      <w:r w:rsidRPr="006B7E8B">
        <w:rPr>
          <w:rFonts w:ascii="Times New Roman" w:hAnsi="Times New Roman" w:cs="Times New Roman"/>
          <w:sz w:val="28"/>
          <w:szCs w:val="28"/>
        </w:rPr>
        <w:t xml:space="preserve"> kreditlərin </w:t>
      </w:r>
      <w:r w:rsidR="00DF4A6D" w:rsidRPr="006B7E8B">
        <w:rPr>
          <w:rFonts w:ascii="Times New Roman" w:hAnsi="Times New Roman" w:cs="Times New Roman"/>
          <w:sz w:val="28"/>
          <w:szCs w:val="28"/>
          <w:lang w:val="az-Latn-AZ"/>
        </w:rPr>
        <w:t>geri ödənilməsi</w:t>
      </w:r>
      <w:r w:rsidRPr="006B7E8B">
        <w:rPr>
          <w:rFonts w:ascii="Times New Roman" w:hAnsi="Times New Roman" w:cs="Times New Roman"/>
          <w:sz w:val="28"/>
          <w:szCs w:val="28"/>
        </w:rPr>
        <w:t xml:space="preserve"> </w:t>
      </w:r>
      <w:r w:rsidR="00DF4A6D" w:rsidRPr="006B7E8B">
        <w:rPr>
          <w:rFonts w:ascii="Times New Roman" w:hAnsi="Times New Roman" w:cs="Times New Roman"/>
          <w:sz w:val="28"/>
          <w:szCs w:val="28"/>
          <w:lang w:val="az-Latn-AZ"/>
        </w:rPr>
        <w:t xml:space="preserve">məsələsi </w:t>
      </w:r>
      <w:r w:rsidRPr="006B7E8B">
        <w:rPr>
          <w:rFonts w:ascii="Times New Roman" w:hAnsi="Times New Roman" w:cs="Times New Roman"/>
          <w:sz w:val="28"/>
          <w:szCs w:val="28"/>
        </w:rPr>
        <w:t xml:space="preserve">daha </w:t>
      </w:r>
      <w:r w:rsidR="00DF4A6D" w:rsidRPr="006B7E8B">
        <w:rPr>
          <w:rFonts w:ascii="Times New Roman" w:hAnsi="Times New Roman" w:cs="Times New Roman"/>
          <w:sz w:val="28"/>
          <w:szCs w:val="28"/>
          <w:lang w:val="az-Latn-AZ"/>
        </w:rPr>
        <w:t>aktualdır</w:t>
      </w:r>
      <w:r w:rsidRPr="006B7E8B">
        <w:rPr>
          <w:rFonts w:ascii="Times New Roman" w:hAnsi="Times New Roman" w:cs="Times New Roman"/>
          <w:sz w:val="28"/>
          <w:szCs w:val="28"/>
        </w:rPr>
        <w:t xml:space="preserve">. Banklar tərəfindən dollarla </w:t>
      </w:r>
      <w:r w:rsidR="00F738BB" w:rsidRPr="006B7E8B">
        <w:rPr>
          <w:rFonts w:ascii="Times New Roman" w:hAnsi="Times New Roman" w:cs="Times New Roman"/>
          <w:sz w:val="28"/>
          <w:szCs w:val="28"/>
          <w:lang w:val="az-Latn-AZ"/>
        </w:rPr>
        <w:t>yatırılmış</w:t>
      </w:r>
      <w:r w:rsidRPr="006B7E8B">
        <w:rPr>
          <w:rFonts w:ascii="Times New Roman" w:hAnsi="Times New Roman" w:cs="Times New Roman"/>
          <w:sz w:val="28"/>
          <w:szCs w:val="28"/>
        </w:rPr>
        <w:t xml:space="preserve"> hər 100 manatın 17,4 manatını geri </w:t>
      </w:r>
      <w:r w:rsidR="00F738BB" w:rsidRPr="006B7E8B">
        <w:rPr>
          <w:rFonts w:ascii="Times New Roman" w:hAnsi="Times New Roman" w:cs="Times New Roman"/>
          <w:sz w:val="28"/>
          <w:szCs w:val="28"/>
          <w:lang w:val="az-Latn-AZ"/>
        </w:rPr>
        <w:t>ödəmək</w:t>
      </w:r>
      <w:r w:rsidRPr="006B7E8B">
        <w:rPr>
          <w:rFonts w:ascii="Times New Roman" w:hAnsi="Times New Roman" w:cs="Times New Roman"/>
          <w:sz w:val="28"/>
          <w:szCs w:val="28"/>
        </w:rPr>
        <w:t xml:space="preserve"> mümkün </w:t>
      </w:r>
      <w:r w:rsidR="00F738BB" w:rsidRPr="006B7E8B">
        <w:rPr>
          <w:rFonts w:ascii="Times New Roman" w:hAnsi="Times New Roman" w:cs="Times New Roman"/>
          <w:sz w:val="28"/>
          <w:szCs w:val="28"/>
          <w:lang w:val="az-Latn-AZ"/>
        </w:rPr>
        <w:t>olmamışdır</w:t>
      </w:r>
      <w:r w:rsidRPr="006B7E8B">
        <w:rPr>
          <w:rFonts w:ascii="Times New Roman" w:hAnsi="Times New Roman" w:cs="Times New Roman"/>
          <w:sz w:val="28"/>
          <w:szCs w:val="28"/>
        </w:rPr>
        <w:t xml:space="preserve">. Beynəlxalq təşkilatların </w:t>
      </w:r>
      <w:r w:rsidR="00F738BB" w:rsidRPr="006B7E8B">
        <w:rPr>
          <w:rFonts w:ascii="Times New Roman" w:hAnsi="Times New Roman" w:cs="Times New Roman"/>
          <w:sz w:val="28"/>
          <w:szCs w:val="28"/>
          <w:lang w:val="az-Latn-AZ"/>
        </w:rPr>
        <w:t>statistik göstəriciləri</w:t>
      </w:r>
      <w:r w:rsidRPr="006B7E8B">
        <w:rPr>
          <w:rFonts w:ascii="Times New Roman" w:hAnsi="Times New Roman" w:cs="Times New Roman"/>
          <w:sz w:val="28"/>
          <w:szCs w:val="28"/>
        </w:rPr>
        <w:t xml:space="preserve"> rəsmi məlumatlardan </w:t>
      </w:r>
      <w:r w:rsidR="00F738BB" w:rsidRPr="006B7E8B">
        <w:rPr>
          <w:rFonts w:ascii="Times New Roman" w:hAnsi="Times New Roman" w:cs="Times New Roman"/>
          <w:sz w:val="28"/>
          <w:szCs w:val="28"/>
          <w:lang w:val="az-Latn-AZ"/>
        </w:rPr>
        <w:t>bir qədər fərqlidir</w:t>
      </w:r>
      <w:r w:rsidRPr="006B7E8B">
        <w:rPr>
          <w:rFonts w:ascii="Times New Roman" w:hAnsi="Times New Roman" w:cs="Times New Roman"/>
          <w:sz w:val="28"/>
          <w:szCs w:val="28"/>
        </w:rPr>
        <w:t>. Məsələn, Fitch reytinq agentliyinin son </w:t>
      </w:r>
      <w:hyperlink r:id="rId18" w:history="1">
        <w:r w:rsidRPr="006B7E8B">
          <w:rPr>
            <w:rStyle w:val="Hyperlink"/>
            <w:rFonts w:ascii="Times New Roman" w:hAnsi="Times New Roman" w:cs="Times New Roman"/>
            <w:color w:val="auto"/>
            <w:sz w:val="28"/>
            <w:szCs w:val="28"/>
            <w:u w:val="none"/>
          </w:rPr>
          <w:t>açıqlamasında</w:t>
        </w:r>
      </w:hyperlink>
      <w:r w:rsidRPr="006B7E8B">
        <w:rPr>
          <w:rFonts w:ascii="Times New Roman" w:hAnsi="Times New Roman" w:cs="Times New Roman"/>
          <w:sz w:val="28"/>
          <w:szCs w:val="28"/>
        </w:rPr>
        <w:t> Azərbaycanda problemli kreditlərin payının 20% olduğu göstərilir. </w:t>
      </w:r>
      <w:r w:rsidRPr="006B7E8B">
        <w:rPr>
          <w:rFonts w:ascii="Times New Roman" w:hAnsi="Times New Roman" w:cs="Times New Roman"/>
          <w:bCs/>
          <w:sz w:val="28"/>
          <w:szCs w:val="28"/>
        </w:rPr>
        <w:t>(Qrafik 3)</w:t>
      </w:r>
    </w:p>
    <w:p w:rsidR="004B71EF" w:rsidRPr="006B7E8B" w:rsidRDefault="004B71EF" w:rsidP="00062F3B">
      <w:pPr>
        <w:autoSpaceDE w:val="0"/>
        <w:autoSpaceDN w:val="0"/>
        <w:adjustRightInd w:val="0"/>
        <w:spacing w:after="0" w:line="360" w:lineRule="auto"/>
        <w:ind w:firstLine="708"/>
        <w:jc w:val="both"/>
        <w:rPr>
          <w:rFonts w:ascii="Times New Roman" w:hAnsi="Times New Roman" w:cs="Times New Roman"/>
          <w:bCs/>
          <w:sz w:val="28"/>
          <w:szCs w:val="28"/>
          <w:lang w:val="az-Latn-AZ"/>
        </w:rPr>
      </w:pPr>
    </w:p>
    <w:p w:rsidR="004B71EF" w:rsidRPr="006B7E8B" w:rsidRDefault="004B71EF" w:rsidP="004B71EF">
      <w:pPr>
        <w:autoSpaceDE w:val="0"/>
        <w:autoSpaceDN w:val="0"/>
        <w:adjustRightInd w:val="0"/>
        <w:spacing w:after="0" w:line="360" w:lineRule="auto"/>
        <w:ind w:firstLine="708"/>
        <w:jc w:val="center"/>
        <w:rPr>
          <w:rFonts w:ascii="Times New Roman" w:hAnsi="Times New Roman" w:cs="Times New Roman"/>
          <w:sz w:val="28"/>
          <w:szCs w:val="28"/>
          <w:lang w:val="az-Latn-AZ"/>
        </w:rPr>
      </w:pPr>
      <w:r w:rsidRPr="006B7E8B">
        <w:rPr>
          <w:rFonts w:ascii="Times New Roman" w:hAnsi="Times New Roman" w:cs="Times New Roman"/>
          <w:b/>
          <w:bCs/>
          <w:sz w:val="28"/>
          <w:szCs w:val="28"/>
          <w:lang w:val="az-Latn-AZ"/>
        </w:rPr>
        <w:t>Qrafik 3.3.</w:t>
      </w:r>
      <w:r w:rsidRPr="006B7E8B">
        <w:rPr>
          <w:rFonts w:ascii="Times New Roman" w:hAnsi="Times New Roman" w:cs="Times New Roman"/>
          <w:bCs/>
          <w:sz w:val="28"/>
          <w:szCs w:val="28"/>
          <w:lang w:val="az-Latn-AZ"/>
        </w:rPr>
        <w:t xml:space="preserve"> Vaxtı keçmiş kreditlərin payı (2013-2017)</w:t>
      </w:r>
    </w:p>
    <w:p w:rsidR="00062F3B" w:rsidRPr="006B7E8B" w:rsidRDefault="00062F3B" w:rsidP="00062F3B">
      <w:pPr>
        <w:autoSpaceDE w:val="0"/>
        <w:autoSpaceDN w:val="0"/>
        <w:adjustRightInd w:val="0"/>
        <w:spacing w:after="0" w:line="360" w:lineRule="auto"/>
        <w:ind w:firstLine="708"/>
        <w:rPr>
          <w:rFonts w:ascii="Times New Roman" w:hAnsi="Times New Roman" w:cs="Times New Roman"/>
          <w:b/>
          <w:sz w:val="28"/>
          <w:szCs w:val="28"/>
        </w:rPr>
      </w:pPr>
      <w:r w:rsidRPr="006B7E8B">
        <w:rPr>
          <w:rFonts w:ascii="Times New Roman" w:hAnsi="Times New Roman" w:cs="Times New Roman"/>
          <w:b/>
          <w:noProof/>
          <w:sz w:val="28"/>
          <w:szCs w:val="28"/>
          <w:lang w:val="en-US"/>
        </w:rPr>
        <w:drawing>
          <wp:inline distT="0" distB="0" distL="0" distR="0" wp14:anchorId="55E79165" wp14:editId="2FC1A9FB">
            <wp:extent cx="5816009" cy="2381693"/>
            <wp:effectExtent l="0" t="0" r="0" b="0"/>
            <wp:docPr id="9" name="Рисунок 9" descr="https://bakuresearchinstitute.org/wp-content/uploads/2018/05/image5-3-1024x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kuresearchinstitute.org/wp-content/uploads/2018/05/image5-3-1024x39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9385" cy="2391266"/>
                    </a:xfrm>
                    <a:prstGeom prst="rect">
                      <a:avLst/>
                    </a:prstGeom>
                    <a:noFill/>
                    <a:ln>
                      <a:noFill/>
                    </a:ln>
                  </pic:spPr>
                </pic:pic>
              </a:graphicData>
            </a:graphic>
          </wp:inline>
        </w:drawing>
      </w:r>
    </w:p>
    <w:p w:rsidR="00062F3B" w:rsidRPr="006B7E8B" w:rsidRDefault="00062F3B" w:rsidP="00062F3B">
      <w:pPr>
        <w:autoSpaceDE w:val="0"/>
        <w:autoSpaceDN w:val="0"/>
        <w:adjustRightInd w:val="0"/>
        <w:spacing w:after="0" w:line="360" w:lineRule="auto"/>
        <w:ind w:firstLine="708"/>
        <w:rPr>
          <w:rFonts w:ascii="Times New Roman" w:hAnsi="Times New Roman" w:cs="Times New Roman"/>
          <w:sz w:val="28"/>
          <w:szCs w:val="28"/>
        </w:rPr>
      </w:pPr>
      <w:r w:rsidRPr="006B7E8B">
        <w:rPr>
          <w:rFonts w:ascii="Times New Roman" w:hAnsi="Times New Roman" w:cs="Times New Roman"/>
          <w:bCs/>
          <w:sz w:val="28"/>
          <w:szCs w:val="28"/>
        </w:rPr>
        <w:t>Mənbə: Mərkəzi Bank</w:t>
      </w:r>
    </w:p>
    <w:p w:rsidR="00062F3B" w:rsidRPr="006B7E8B" w:rsidRDefault="00062F3B" w:rsidP="00062F3B">
      <w:pPr>
        <w:autoSpaceDE w:val="0"/>
        <w:autoSpaceDN w:val="0"/>
        <w:adjustRightInd w:val="0"/>
        <w:spacing w:after="0" w:line="360" w:lineRule="auto"/>
        <w:ind w:firstLine="708"/>
        <w:rPr>
          <w:rFonts w:ascii="Times New Roman" w:hAnsi="Times New Roman" w:cs="Times New Roman"/>
          <w:sz w:val="28"/>
          <w:szCs w:val="28"/>
        </w:rPr>
      </w:pPr>
      <w:r w:rsidRPr="006B7E8B">
        <w:rPr>
          <w:rFonts w:ascii="Times New Roman" w:hAnsi="Times New Roman" w:cs="Times New Roman"/>
          <w:bCs/>
          <w:sz w:val="28"/>
          <w:szCs w:val="28"/>
        </w:rPr>
        <w:t>Əhalinin bank xidmətlərinə əlçatanlığı azalıb.</w:t>
      </w:r>
    </w:p>
    <w:p w:rsidR="006B7E8B" w:rsidRDefault="00700BA3" w:rsidP="00700BA3">
      <w:pPr>
        <w:autoSpaceDE w:val="0"/>
        <w:autoSpaceDN w:val="0"/>
        <w:adjustRightInd w:val="0"/>
        <w:spacing w:after="0" w:line="360" w:lineRule="auto"/>
        <w:ind w:firstLine="708"/>
        <w:jc w:val="both"/>
        <w:rPr>
          <w:rFonts w:ascii="Times New Roman" w:hAnsi="Times New Roman" w:cs="Times New Roman"/>
          <w:iCs/>
          <w:sz w:val="28"/>
          <w:szCs w:val="28"/>
          <w:lang w:val="en-US"/>
        </w:rPr>
      </w:pPr>
      <w:r w:rsidRPr="00700BA3">
        <w:rPr>
          <w:rFonts w:ascii="Times New Roman" w:hAnsi="Times New Roman" w:cs="Times New Roman"/>
          <w:iCs/>
          <w:sz w:val="28"/>
          <w:szCs w:val="28"/>
        </w:rPr>
        <w:t xml:space="preserve">Burada əhaliyə xidmət edən bankların filialları kimi bank banklarının və POS terminallarının sayı nəzərdə tutulur. </w:t>
      </w:r>
      <w:r w:rsidRPr="00700BA3">
        <w:rPr>
          <w:rFonts w:ascii="Times New Roman" w:hAnsi="Times New Roman" w:cs="Times New Roman"/>
          <w:iCs/>
          <w:sz w:val="28"/>
          <w:szCs w:val="28"/>
          <w:lang w:val="en-US"/>
        </w:rPr>
        <w:t>Bank sektorunda dissociasiya artmışdır. Devalvasiyan bank sektorunun yaratdığı problemlərdən biridir. Bu dəfə banklar bazarın tərk edilməsində xüsusi rol oynayır. Qapalı banklar zamanı kifayət qədər böyük banklar (Bank Standardı, Bank Technique) olmasına baxmayaraq, bazardan qaçmaq mümkün olmayıb. Buna görə banklar və sahibkarlar öz maliyyə materiallarını daha təhlükəsiz hesab edən böyük banklarda sərf edirlər.</w:t>
      </w:r>
    </w:p>
    <w:p w:rsidR="00700BA3" w:rsidRDefault="00700BA3" w:rsidP="00FD70D8">
      <w:pPr>
        <w:autoSpaceDE w:val="0"/>
        <w:autoSpaceDN w:val="0"/>
        <w:adjustRightInd w:val="0"/>
        <w:spacing w:after="0" w:line="360" w:lineRule="auto"/>
        <w:ind w:firstLine="708"/>
        <w:rPr>
          <w:rFonts w:ascii="Times New Roman" w:hAnsi="Times New Roman" w:cs="Times New Roman"/>
          <w:b/>
          <w:bCs/>
          <w:sz w:val="28"/>
          <w:szCs w:val="28"/>
          <w:lang w:val="en-US"/>
        </w:rPr>
      </w:pPr>
    </w:p>
    <w:p w:rsidR="00700BA3" w:rsidRPr="00700BA3" w:rsidRDefault="00700BA3" w:rsidP="00FD70D8">
      <w:pPr>
        <w:autoSpaceDE w:val="0"/>
        <w:autoSpaceDN w:val="0"/>
        <w:adjustRightInd w:val="0"/>
        <w:spacing w:after="0" w:line="360" w:lineRule="auto"/>
        <w:ind w:firstLine="708"/>
        <w:rPr>
          <w:rFonts w:ascii="Times New Roman" w:hAnsi="Times New Roman" w:cs="Times New Roman"/>
          <w:b/>
          <w:bCs/>
          <w:sz w:val="28"/>
          <w:szCs w:val="28"/>
          <w:lang w:val="en-US"/>
        </w:rPr>
      </w:pPr>
    </w:p>
    <w:p w:rsidR="006B7E8B" w:rsidRDefault="006B7E8B" w:rsidP="00FD70D8">
      <w:pPr>
        <w:autoSpaceDE w:val="0"/>
        <w:autoSpaceDN w:val="0"/>
        <w:adjustRightInd w:val="0"/>
        <w:spacing w:after="0" w:line="360" w:lineRule="auto"/>
        <w:ind w:firstLine="708"/>
        <w:rPr>
          <w:rFonts w:ascii="Times New Roman" w:hAnsi="Times New Roman" w:cs="Times New Roman"/>
          <w:b/>
          <w:bCs/>
          <w:sz w:val="28"/>
          <w:szCs w:val="28"/>
          <w:lang w:val="az-Latn-AZ"/>
        </w:rPr>
      </w:pPr>
    </w:p>
    <w:p w:rsidR="006B7E8B" w:rsidRDefault="006B7E8B" w:rsidP="00FD70D8">
      <w:pPr>
        <w:autoSpaceDE w:val="0"/>
        <w:autoSpaceDN w:val="0"/>
        <w:adjustRightInd w:val="0"/>
        <w:spacing w:after="0" w:line="360" w:lineRule="auto"/>
        <w:ind w:firstLine="708"/>
        <w:rPr>
          <w:rFonts w:ascii="Times New Roman" w:hAnsi="Times New Roman" w:cs="Times New Roman"/>
          <w:b/>
          <w:bCs/>
          <w:sz w:val="28"/>
          <w:szCs w:val="28"/>
          <w:lang w:val="az-Latn-AZ"/>
        </w:rPr>
      </w:pPr>
    </w:p>
    <w:p w:rsidR="00FD70D8" w:rsidRPr="006B7E8B" w:rsidRDefault="00FD70D8" w:rsidP="00FD70D8">
      <w:pPr>
        <w:autoSpaceDE w:val="0"/>
        <w:autoSpaceDN w:val="0"/>
        <w:adjustRightInd w:val="0"/>
        <w:spacing w:after="0" w:line="360" w:lineRule="auto"/>
        <w:ind w:firstLine="708"/>
        <w:rPr>
          <w:rFonts w:ascii="Times New Roman" w:hAnsi="Times New Roman" w:cs="Times New Roman"/>
          <w:b/>
          <w:sz w:val="28"/>
          <w:szCs w:val="28"/>
          <w:lang w:val="az-Latn-AZ"/>
        </w:rPr>
      </w:pPr>
      <w:r w:rsidRPr="006B7E8B">
        <w:rPr>
          <w:rFonts w:ascii="Times New Roman" w:hAnsi="Times New Roman" w:cs="Times New Roman"/>
          <w:b/>
          <w:bCs/>
          <w:sz w:val="28"/>
          <w:szCs w:val="28"/>
          <w:lang w:val="az-Latn-AZ"/>
        </w:rPr>
        <w:t>Qrafik 3.4. </w:t>
      </w:r>
      <w:r w:rsidRPr="006B7E8B">
        <w:rPr>
          <w:rFonts w:ascii="Times New Roman" w:hAnsi="Times New Roman" w:cs="Times New Roman"/>
          <w:bCs/>
          <w:i/>
          <w:iCs/>
          <w:sz w:val="28"/>
          <w:szCs w:val="28"/>
          <w:lang w:val="az-Latn-AZ"/>
        </w:rPr>
        <w:t>2013-2017-cı illər üzrə </w:t>
      </w:r>
      <w:r w:rsidRPr="006B7E8B">
        <w:rPr>
          <w:rFonts w:ascii="Times New Roman" w:hAnsi="Times New Roman" w:cs="Times New Roman"/>
          <w:bCs/>
          <w:sz w:val="28"/>
          <w:szCs w:val="28"/>
          <w:lang w:val="az-Latn-AZ"/>
        </w:rPr>
        <w:t>ilk 5 bankın bazar payı, faizlə</w:t>
      </w:r>
    </w:p>
    <w:p w:rsidR="00062F3B" w:rsidRPr="006B7E8B" w:rsidRDefault="00062F3B" w:rsidP="00062F3B">
      <w:pPr>
        <w:autoSpaceDE w:val="0"/>
        <w:autoSpaceDN w:val="0"/>
        <w:adjustRightInd w:val="0"/>
        <w:spacing w:after="0" w:line="360" w:lineRule="auto"/>
        <w:rPr>
          <w:rFonts w:ascii="Times New Roman" w:hAnsi="Times New Roman" w:cs="Times New Roman"/>
          <w:b/>
          <w:sz w:val="28"/>
          <w:szCs w:val="28"/>
        </w:rPr>
      </w:pPr>
      <w:r w:rsidRPr="006B7E8B">
        <w:rPr>
          <w:rFonts w:ascii="Times New Roman" w:hAnsi="Times New Roman" w:cs="Times New Roman"/>
          <w:b/>
          <w:noProof/>
          <w:sz w:val="28"/>
          <w:szCs w:val="28"/>
          <w:lang w:val="en-US"/>
        </w:rPr>
        <w:drawing>
          <wp:inline distT="0" distB="0" distL="0" distR="0" wp14:anchorId="33A2D74E" wp14:editId="092A8C01">
            <wp:extent cx="5923204" cy="1810425"/>
            <wp:effectExtent l="0" t="0" r="1905" b="0"/>
            <wp:docPr id="10" name="Рисунок 10" descr="https://bakuresearchinstitute.org/wp-content/uploads/2018/05/image3-3-1024x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kuresearchinstitute.org/wp-content/uploads/2018/05/image3-3-1024x3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842" cy="1813371"/>
                    </a:xfrm>
                    <a:prstGeom prst="rect">
                      <a:avLst/>
                    </a:prstGeom>
                    <a:noFill/>
                    <a:ln>
                      <a:noFill/>
                    </a:ln>
                  </pic:spPr>
                </pic:pic>
              </a:graphicData>
            </a:graphic>
          </wp:inline>
        </w:drawing>
      </w:r>
    </w:p>
    <w:p w:rsidR="00062F3B" w:rsidRPr="006B7E8B" w:rsidRDefault="00062F3B" w:rsidP="00062F3B">
      <w:pPr>
        <w:autoSpaceDE w:val="0"/>
        <w:autoSpaceDN w:val="0"/>
        <w:adjustRightInd w:val="0"/>
        <w:spacing w:after="0" w:line="360" w:lineRule="auto"/>
        <w:ind w:firstLine="708"/>
        <w:rPr>
          <w:rFonts w:ascii="Times New Roman" w:hAnsi="Times New Roman" w:cs="Times New Roman"/>
          <w:bCs/>
          <w:sz w:val="28"/>
          <w:szCs w:val="28"/>
          <w:lang w:val="az-Latn-AZ"/>
        </w:rPr>
      </w:pPr>
      <w:r w:rsidRPr="006B7E8B">
        <w:rPr>
          <w:rFonts w:ascii="Times New Roman" w:hAnsi="Times New Roman" w:cs="Times New Roman"/>
          <w:b/>
          <w:bCs/>
          <w:sz w:val="28"/>
          <w:szCs w:val="28"/>
        </w:rPr>
        <w:t xml:space="preserve">Mənbə: </w:t>
      </w:r>
      <w:r w:rsidRPr="006B7E8B">
        <w:rPr>
          <w:rFonts w:ascii="Times New Roman" w:hAnsi="Times New Roman" w:cs="Times New Roman"/>
          <w:bCs/>
          <w:sz w:val="28"/>
          <w:szCs w:val="28"/>
        </w:rPr>
        <w:t>Mərkəzi Bank və Maliyyə Bazarlarına Nəzarət Palatası</w:t>
      </w:r>
    </w:p>
    <w:p w:rsidR="005B2738" w:rsidRPr="006B7E8B" w:rsidRDefault="005B2738" w:rsidP="00062F3B">
      <w:pPr>
        <w:autoSpaceDE w:val="0"/>
        <w:autoSpaceDN w:val="0"/>
        <w:adjustRightInd w:val="0"/>
        <w:spacing w:after="0" w:line="360" w:lineRule="auto"/>
        <w:ind w:firstLine="708"/>
        <w:rPr>
          <w:rFonts w:ascii="Times New Roman" w:hAnsi="Times New Roman" w:cs="Times New Roman"/>
          <w:b/>
          <w:sz w:val="28"/>
          <w:szCs w:val="28"/>
          <w:lang w:val="az-Latn-AZ"/>
        </w:rPr>
      </w:pPr>
    </w:p>
    <w:p w:rsidR="00062F3B" w:rsidRPr="006B7E8B" w:rsidRDefault="00062F3B" w:rsidP="00062F3B">
      <w:pPr>
        <w:autoSpaceDE w:val="0"/>
        <w:autoSpaceDN w:val="0"/>
        <w:adjustRightInd w:val="0"/>
        <w:spacing w:after="0" w:line="360" w:lineRule="auto"/>
        <w:ind w:firstLine="708"/>
        <w:jc w:val="both"/>
        <w:rPr>
          <w:rFonts w:ascii="Times New Roman" w:hAnsi="Times New Roman" w:cs="Times New Roman"/>
          <w:sz w:val="28"/>
          <w:szCs w:val="28"/>
        </w:rPr>
      </w:pPr>
      <w:r w:rsidRPr="006B7E8B">
        <w:rPr>
          <w:rFonts w:ascii="Times New Roman" w:hAnsi="Times New Roman" w:cs="Times New Roman"/>
          <w:sz w:val="28"/>
          <w:szCs w:val="28"/>
          <w:lang w:val="az-Latn-AZ"/>
        </w:rPr>
        <w:t xml:space="preserve">Bank statistikasının </w:t>
      </w:r>
      <w:r w:rsidR="00A70871" w:rsidRPr="006B7E8B">
        <w:rPr>
          <w:rFonts w:ascii="Times New Roman" w:hAnsi="Times New Roman" w:cs="Times New Roman"/>
          <w:sz w:val="28"/>
          <w:szCs w:val="28"/>
          <w:lang w:val="az-Latn-AZ"/>
        </w:rPr>
        <w:t>sübut edir</w:t>
      </w:r>
      <w:r w:rsidRPr="006B7E8B">
        <w:rPr>
          <w:rFonts w:ascii="Times New Roman" w:hAnsi="Times New Roman" w:cs="Times New Roman"/>
          <w:sz w:val="28"/>
          <w:szCs w:val="28"/>
          <w:lang w:val="az-Latn-AZ"/>
        </w:rPr>
        <w:t xml:space="preserve"> ki, ilk 5 yerdə </w:t>
      </w:r>
      <w:r w:rsidR="00A70871" w:rsidRPr="006B7E8B">
        <w:rPr>
          <w:rFonts w:ascii="Times New Roman" w:hAnsi="Times New Roman" w:cs="Times New Roman"/>
          <w:sz w:val="28"/>
          <w:szCs w:val="28"/>
          <w:lang w:val="az-Latn-AZ"/>
        </w:rPr>
        <w:t>duran</w:t>
      </w:r>
      <w:r w:rsidRPr="006B7E8B">
        <w:rPr>
          <w:rFonts w:ascii="Times New Roman" w:hAnsi="Times New Roman" w:cs="Times New Roman"/>
          <w:sz w:val="28"/>
          <w:szCs w:val="28"/>
          <w:lang w:val="az-Latn-AZ"/>
        </w:rPr>
        <w:t xml:space="preserve"> bankların məcmu </w:t>
      </w:r>
      <w:r w:rsidR="00A70871" w:rsidRPr="006B7E8B">
        <w:rPr>
          <w:rFonts w:ascii="Times New Roman" w:hAnsi="Times New Roman" w:cs="Times New Roman"/>
          <w:sz w:val="28"/>
          <w:szCs w:val="28"/>
          <w:lang w:val="az-Latn-AZ"/>
        </w:rPr>
        <w:t>aliyyə vəsaitlərində</w:t>
      </w:r>
      <w:r w:rsidRPr="006B7E8B">
        <w:rPr>
          <w:rFonts w:ascii="Times New Roman" w:hAnsi="Times New Roman" w:cs="Times New Roman"/>
          <w:sz w:val="28"/>
          <w:szCs w:val="28"/>
          <w:lang w:val="az-Latn-AZ"/>
        </w:rPr>
        <w:t xml:space="preserve"> xüsusi çəkisi 2013-cü il üçün 55% </w:t>
      </w:r>
      <w:r w:rsidR="00A70871" w:rsidRPr="006B7E8B">
        <w:rPr>
          <w:rFonts w:ascii="Times New Roman" w:hAnsi="Times New Roman" w:cs="Times New Roman"/>
          <w:sz w:val="28"/>
          <w:szCs w:val="28"/>
          <w:lang w:val="az-Latn-AZ"/>
        </w:rPr>
        <w:t>olsa da</w:t>
      </w:r>
      <w:r w:rsidRPr="006B7E8B">
        <w:rPr>
          <w:rFonts w:ascii="Times New Roman" w:hAnsi="Times New Roman" w:cs="Times New Roman"/>
          <w:sz w:val="28"/>
          <w:szCs w:val="28"/>
          <w:lang w:val="az-Latn-AZ"/>
        </w:rPr>
        <w:t xml:space="preserve">, 2017-ci ildə </w:t>
      </w:r>
      <w:r w:rsidR="00A70871" w:rsidRPr="006B7E8B">
        <w:rPr>
          <w:rFonts w:ascii="Times New Roman" w:hAnsi="Times New Roman" w:cs="Times New Roman"/>
          <w:sz w:val="28"/>
          <w:szCs w:val="28"/>
          <w:lang w:val="az-Latn-AZ"/>
        </w:rPr>
        <w:t>bu</w:t>
      </w:r>
      <w:r w:rsidRPr="006B7E8B">
        <w:rPr>
          <w:rFonts w:ascii="Times New Roman" w:hAnsi="Times New Roman" w:cs="Times New Roman"/>
          <w:sz w:val="28"/>
          <w:szCs w:val="28"/>
          <w:lang w:val="az-Latn-AZ"/>
        </w:rPr>
        <w:t xml:space="preserve"> göstərici 65,2%-ə </w:t>
      </w:r>
      <w:r w:rsidR="00A70871" w:rsidRPr="006B7E8B">
        <w:rPr>
          <w:rFonts w:ascii="Times New Roman" w:hAnsi="Times New Roman" w:cs="Times New Roman"/>
          <w:sz w:val="28"/>
          <w:szCs w:val="28"/>
          <w:lang w:val="az-Latn-AZ"/>
        </w:rPr>
        <w:t>kimi artmışdır</w:t>
      </w:r>
      <w:r w:rsidRPr="006B7E8B">
        <w:rPr>
          <w:rFonts w:ascii="Times New Roman" w:hAnsi="Times New Roman" w:cs="Times New Roman"/>
          <w:sz w:val="28"/>
          <w:szCs w:val="28"/>
          <w:lang w:val="az-Latn-AZ"/>
        </w:rPr>
        <w:t xml:space="preserve">. 2016-cı ildə 5 bankın bazar </w:t>
      </w:r>
      <w:r w:rsidR="00A70871" w:rsidRPr="006B7E8B">
        <w:rPr>
          <w:rFonts w:ascii="Times New Roman" w:hAnsi="Times New Roman" w:cs="Times New Roman"/>
          <w:sz w:val="28"/>
          <w:szCs w:val="28"/>
          <w:lang w:val="az-Latn-AZ"/>
        </w:rPr>
        <w:t>hissəsi</w:t>
      </w:r>
      <w:r w:rsidRPr="006B7E8B">
        <w:rPr>
          <w:rFonts w:ascii="Times New Roman" w:hAnsi="Times New Roman" w:cs="Times New Roman"/>
          <w:sz w:val="28"/>
          <w:szCs w:val="28"/>
          <w:lang w:val="az-Latn-AZ"/>
        </w:rPr>
        <w:t xml:space="preserve"> 68,2%-ə </w:t>
      </w:r>
      <w:r w:rsidR="00A70871" w:rsidRPr="006B7E8B">
        <w:rPr>
          <w:rFonts w:ascii="Times New Roman" w:hAnsi="Times New Roman" w:cs="Times New Roman"/>
          <w:sz w:val="28"/>
          <w:szCs w:val="28"/>
          <w:lang w:val="az-Latn-AZ"/>
        </w:rPr>
        <w:t>yüksəlsə də</w:t>
      </w:r>
      <w:r w:rsidRPr="006B7E8B">
        <w:rPr>
          <w:rFonts w:ascii="Times New Roman" w:hAnsi="Times New Roman" w:cs="Times New Roman"/>
          <w:sz w:val="28"/>
          <w:szCs w:val="28"/>
          <w:lang w:val="az-Latn-AZ"/>
        </w:rPr>
        <w:t xml:space="preserve">, növbəti ildə nisbətən azalma müşahidə </w:t>
      </w:r>
      <w:r w:rsidR="00A70871" w:rsidRPr="006B7E8B">
        <w:rPr>
          <w:rFonts w:ascii="Times New Roman" w:hAnsi="Times New Roman" w:cs="Times New Roman"/>
          <w:sz w:val="28"/>
          <w:szCs w:val="28"/>
          <w:lang w:val="az-Latn-AZ"/>
        </w:rPr>
        <w:t>olunub</w:t>
      </w:r>
      <w:r w:rsidRPr="006B7E8B">
        <w:rPr>
          <w:rFonts w:ascii="Times New Roman" w:hAnsi="Times New Roman" w:cs="Times New Roman"/>
          <w:sz w:val="28"/>
          <w:szCs w:val="28"/>
          <w:lang w:val="az-Latn-AZ"/>
        </w:rPr>
        <w:t>. </w:t>
      </w:r>
      <w:r w:rsidRPr="006B7E8B">
        <w:rPr>
          <w:rFonts w:ascii="Times New Roman" w:hAnsi="Times New Roman" w:cs="Times New Roman"/>
          <w:bCs/>
          <w:sz w:val="28"/>
          <w:szCs w:val="28"/>
        </w:rPr>
        <w:t xml:space="preserve">(Qrafik </w:t>
      </w:r>
      <w:r w:rsidR="003930AE" w:rsidRPr="006B7E8B">
        <w:rPr>
          <w:rFonts w:ascii="Times New Roman" w:hAnsi="Times New Roman" w:cs="Times New Roman"/>
          <w:bCs/>
          <w:sz w:val="28"/>
          <w:szCs w:val="28"/>
          <w:lang w:val="az-Latn-AZ"/>
        </w:rPr>
        <w:t>3.4</w:t>
      </w:r>
      <w:r w:rsidRPr="006B7E8B">
        <w:rPr>
          <w:rFonts w:ascii="Times New Roman" w:hAnsi="Times New Roman" w:cs="Times New Roman"/>
          <w:bCs/>
          <w:sz w:val="28"/>
          <w:szCs w:val="28"/>
        </w:rPr>
        <w:t>)</w:t>
      </w:r>
    </w:p>
    <w:p w:rsidR="006E1097" w:rsidRPr="006B7E8B" w:rsidRDefault="006E1097" w:rsidP="00F84306">
      <w:pPr>
        <w:autoSpaceDE w:val="0"/>
        <w:autoSpaceDN w:val="0"/>
        <w:adjustRightInd w:val="0"/>
        <w:spacing w:after="0" w:line="360" w:lineRule="auto"/>
        <w:ind w:firstLine="708"/>
        <w:rPr>
          <w:rFonts w:ascii="Times New Roman" w:hAnsi="Times New Roman" w:cs="Times New Roman"/>
          <w:b/>
          <w:sz w:val="28"/>
          <w:szCs w:val="28"/>
        </w:rPr>
      </w:pPr>
    </w:p>
    <w:p w:rsidR="006E1097" w:rsidRPr="006B7E8B" w:rsidRDefault="006E1097" w:rsidP="006B7E8B">
      <w:pPr>
        <w:pStyle w:val="Heading2"/>
        <w:numPr>
          <w:ilvl w:val="1"/>
          <w:numId w:val="35"/>
        </w:numPr>
        <w:rPr>
          <w:lang w:val="az-Latn-AZ"/>
        </w:rPr>
      </w:pPr>
      <w:bookmarkStart w:id="19" w:name="_Toc8806579"/>
      <w:bookmarkStart w:id="20" w:name="_Toc8806922"/>
      <w:r w:rsidRPr="006B7E8B">
        <w:rPr>
          <w:lang w:val="az-Latn-AZ"/>
        </w:rPr>
        <w:t>Azərbaycanın Mərkəzi Bankının antiböhran strategiyası və dünya təcrübəsi</w:t>
      </w:r>
      <w:bookmarkEnd w:id="19"/>
      <w:bookmarkEnd w:id="20"/>
    </w:p>
    <w:p w:rsidR="008858C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Inflyasiya müasir dövrdə dünya dövlətlərinin əksəriyyəti üçün iqtisadi problem olaraq qalmaqdadır. Onun qlobal xarakter kəsb etməsi,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prosesini aktualla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dıran əsas istiqamət hesab edilir. Müxtəlif dövlətlər tərəfindən </w:t>
      </w:r>
      <w:r w:rsidR="0040481D"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ya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tədbirlərin həyata keçirilməsində həmin ölkələrin Mərkəzi bankları tərəfindən yerinə yetirilən pul kredit siyasətlərinin əsas hədəflərindən biri və ən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lıcası, qiymətlərin stabilliyinin təmin edilməsi çox mühüm əhəmiyyət kəsb edir. Bu məqsədlə ümumilikdə, mərkəzi banklar tərəfindən müxtəlif strategiyalar seçilərək il ərzində təsdiq edilir və buna müvafiq olaraq pul kütləsinin iqtisadi artımına hədəflənməsi və pul kredit siyasətinin rejimlərinin seçilməsi ümumilikdə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tədbirləri özündə ehtiva edir. Belə olduqda isə Mərkəzi Bank tərəfindən yerinə yetirilən pul kredit siyasətinin əsas hədəfi yəni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həddinin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dirilməsi və təyin edilməsidir. Bu halda bütün diqqəti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ıya qoyulan məqsədlərə uyğun siyasi göstəricilərinin əldə olunmasından ibarət olur və bu zaman aralıq hədəflər diqqət mərkəzində olmur. Mərkəzi Bankın yeganə məqsədi isə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göstəricisini əldə etməklə ölkədə qiymətlərin stabilliyinin nail olunmasından ibarət olur. Bu istiqamətdə fəaliyyət zamanı Mərkəzi Bank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həddinə, elan etməklə yana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dövlət sektorunda, eləcə də özəl sektor üzrə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gözləntilərinin formala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dırır və bu gözləntilər vasitəsilə müxtəlif subyektlər arasında qərarlar üzrə dəyi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ikliklər icra edilir.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Mərkəzi Bankının pul kredit siyasəti eləcə də müxtəlif kanallar vasitəsilə bankda maliyyə sektorlarına təsir xüsusiyyətləri nəticə etibarilə istehlak, məcmu tələb və təklifi investisiya və müxtəlif səviyyələr üzrə hədəfə nail olmaq istiqamətində tənzimlə</w:t>
      </w:r>
      <w:r w:rsidR="00646AEC" w:rsidRPr="006B7E8B">
        <w:rPr>
          <w:rFonts w:ascii="Times New Roman" w:hAnsi="Times New Roman" w:cs="Times New Roman"/>
          <w:sz w:val="28"/>
          <w:szCs w:val="28"/>
          <w:lang w:val="az-Latn-AZ"/>
        </w:rPr>
        <w:t>nir:</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sym w:font="Symbol" w:char="F076"/>
      </w:r>
      <w:r w:rsidRPr="006B7E8B">
        <w:rPr>
          <w:rFonts w:ascii="Times New Roman" w:hAnsi="Times New Roman" w:cs="Times New Roman"/>
          <w:sz w:val="28"/>
          <w:szCs w:val="28"/>
          <w:lang w:val="az-Latn-AZ"/>
        </w:rPr>
        <w:t xml:space="preserve"> Mərkəzi Bankın ödəmə qabiliyyətinin yüksəldilməsi ;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sym w:font="Symbol" w:char="F076"/>
      </w:r>
      <w:r w:rsidRPr="006B7E8B">
        <w:rPr>
          <w:rFonts w:ascii="Times New Roman" w:hAnsi="Times New Roman" w:cs="Times New Roman"/>
          <w:sz w:val="28"/>
          <w:szCs w:val="28"/>
          <w:lang w:val="az-Latn-AZ"/>
        </w:rPr>
        <w:t xml:space="preserve"> Qiymətlərin stabilliyinin monetar siyasətə uyğun hədəflərin seçilməsi ;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sym w:font="Symbol" w:char="F076"/>
      </w:r>
      <w:r w:rsidRPr="006B7E8B">
        <w:rPr>
          <w:rFonts w:ascii="Times New Roman" w:hAnsi="Times New Roman" w:cs="Times New Roman"/>
          <w:sz w:val="28"/>
          <w:szCs w:val="28"/>
          <w:lang w:val="az-Latn-AZ"/>
        </w:rPr>
        <w:t xml:space="preserve"> Ortamüddətli dövr üçün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həddinin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dirilməsi ;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sym w:font="Symbol" w:char="F076"/>
      </w:r>
      <w:r w:rsidRPr="006B7E8B">
        <w:rPr>
          <w:rFonts w:ascii="Times New Roman" w:hAnsi="Times New Roman" w:cs="Times New Roman"/>
          <w:sz w:val="28"/>
          <w:szCs w:val="28"/>
          <w:lang w:val="az-Latn-AZ"/>
        </w:rPr>
        <w:t xml:space="preserve"> Gələcək planlar və gələcək fəaliyyətlə əlaqədar qərar qəbul ediləcək qərarlar üzrə monetar siyasətin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əffaflığının təmin edilməsi ;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rPr>
        <w:sym w:font="Symbol" w:char="F076"/>
      </w:r>
      <w:r w:rsidRPr="006B7E8B">
        <w:rPr>
          <w:rFonts w:ascii="Times New Roman" w:hAnsi="Times New Roman" w:cs="Times New Roman"/>
          <w:sz w:val="28"/>
          <w:szCs w:val="28"/>
          <w:lang w:val="az-Latn-AZ"/>
        </w:rPr>
        <w:t xml:space="preserve"> Effektiv informasiya strategiyasının qurulması ;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Orta müddətli dövr üçün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 Mərkəzi Bank tərəfindən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dirilməsi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rejiminin əsas elementi hesab olunur ki, burada Mərkəzi Bank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dırılan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 təmin etməklə, nəticədə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gözləntiləri formala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ır və bu gözləntilərin müvafiq bazar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tirakçılarının qərarlara təsir etmək imkanına malik olur</w:t>
      </w:r>
      <w:r w:rsidR="00DC7C4C" w:rsidRPr="006B7E8B">
        <w:rPr>
          <w:rFonts w:ascii="Times New Roman" w:hAnsi="Times New Roman" w:cs="Times New Roman"/>
          <w:sz w:val="28"/>
          <w:szCs w:val="28"/>
          <w:lang w:val="az-Latn-AZ"/>
        </w:rPr>
        <w:t xml:space="preserve"> </w:t>
      </w:r>
      <w:r w:rsidR="00DC7C4C" w:rsidRPr="006B7E8B">
        <w:rPr>
          <w:rStyle w:val="FootnoteReference"/>
          <w:rFonts w:ascii="Times New Roman" w:hAnsi="Times New Roman" w:cs="Times New Roman"/>
          <w:sz w:val="28"/>
          <w:szCs w:val="28"/>
          <w:lang w:val="az-Latn-AZ"/>
        </w:rPr>
        <w:footnoteReference w:id="15"/>
      </w:r>
      <w:r w:rsidRPr="006B7E8B">
        <w:rPr>
          <w:rFonts w:ascii="Times New Roman" w:hAnsi="Times New Roman" w:cs="Times New Roman"/>
          <w:sz w:val="28"/>
          <w:szCs w:val="28"/>
          <w:lang w:val="az-Latn-AZ"/>
        </w:rPr>
        <w:t xml:space="preserve">. </w:t>
      </w:r>
    </w:p>
    <w:p w:rsidR="00646AEC"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Qiymətin artımının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ısının alınması və buna uyğun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qiymətlərin stabilliyini əsas məqsəd kimi seçilməsi isə monetar siyasətinin xüsusiyyətlərindən irəli gəlir. Bu zaman iqtisadi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af planı daimi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sürətləndirilməsi və valyuta kursunun sabitliyinin təmin edilməsi bununla yana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pul kütləsinin davamlı artımının realla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 monetar siyasətin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ısına qoyduğu əsas məqsədi kimi </w:t>
      </w:r>
      <w:r w:rsidR="00F44FC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düzgün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dırılması və rejiminə diqqət mərkəzində saxlanılır. Effektiv informasiya strategiyasının qurulması isə optimal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 proqnoz ara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dırılmasında çox mühüm əhəmiyyət kəsb edir. Bu strategiyanın məzmunu ondan ibarətdir ki, onun vasitəsilə ölkə iqtisadiyyatında maliyyə və real sektorları haqqında ətraflı və müfəssəl məlumatlar toplanılır və bu istiqamətdə toplanan məlumatlardan istifadə edərək ehtiyac olduğu təqdirdə bu məlumatlar ictimaiyyətə çatdırılır. </w:t>
      </w:r>
    </w:p>
    <w:p w:rsidR="00710B9A" w:rsidRPr="006B7E8B" w:rsidRDefault="002924D4" w:rsidP="00473D1F">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Mərkəzi Bankın ödəmə qabiliyyətinin yüksəldilməsi istiqamətində xarici valyuta ehtiyatların optimal səviyyədə saxlanması da gələcək fəaliyyəti üzrə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verə biləcək hər hansı bir mənfi halların azaldılmasından və aradan qaldırılmasında müsbət rol oynaya bilər. belə ki, ödəmə qabiliyyətinin kifayət qədər yax</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və güclü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əkildə formala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ması, Mərkəzi Bankın fəaliyyətinə ictimaiyyət tərəfindən inam formala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dırır. Ümumilikdə, Mərkəzi Bank tərəfindən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nın səviyyəsinin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 mexanizminə nəzər salaq.</w:t>
      </w:r>
    </w:p>
    <w:p w:rsidR="002924D4" w:rsidRPr="006B7E8B" w:rsidRDefault="002924D4" w:rsidP="00573E5C">
      <w:pPr>
        <w:autoSpaceDE w:val="0"/>
        <w:autoSpaceDN w:val="0"/>
        <w:adjustRightInd w:val="0"/>
        <w:spacing w:after="0" w:line="360" w:lineRule="auto"/>
        <w:jc w:val="center"/>
        <w:rPr>
          <w:rFonts w:ascii="Times New Roman" w:hAnsi="Times New Roman" w:cs="Times New Roman"/>
          <w:sz w:val="28"/>
          <w:szCs w:val="28"/>
          <w:lang w:val="az-Latn-AZ"/>
        </w:rPr>
      </w:pPr>
      <w:r w:rsidRPr="006B7E8B">
        <w:rPr>
          <w:rFonts w:ascii="Times New Roman" w:hAnsi="Times New Roman" w:cs="Times New Roman"/>
          <w:noProof/>
          <w:sz w:val="28"/>
          <w:szCs w:val="28"/>
          <w:lang w:val="en-US"/>
        </w:rPr>
        <w:drawing>
          <wp:inline distT="0" distB="0" distL="0" distR="0" wp14:anchorId="4049AC79" wp14:editId="656A7AF1">
            <wp:extent cx="5010150" cy="4680759"/>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07474" cy="4678259"/>
                    </a:xfrm>
                    <a:prstGeom prst="rect">
                      <a:avLst/>
                    </a:prstGeom>
                  </pic:spPr>
                </pic:pic>
              </a:graphicData>
            </a:graphic>
          </wp:inline>
        </w:drawing>
      </w:r>
    </w:p>
    <w:p w:rsidR="002924D4" w:rsidRPr="006B7E8B" w:rsidRDefault="002924D4" w:rsidP="00646AEC">
      <w:pPr>
        <w:autoSpaceDE w:val="0"/>
        <w:autoSpaceDN w:val="0"/>
        <w:adjustRightInd w:val="0"/>
        <w:spacing w:after="0" w:line="360" w:lineRule="auto"/>
        <w:jc w:val="center"/>
        <w:rPr>
          <w:rFonts w:ascii="Times New Roman" w:hAnsi="Times New Roman" w:cs="Times New Roman"/>
          <w:sz w:val="28"/>
          <w:szCs w:val="28"/>
          <w:lang w:val="az-Latn-AZ"/>
        </w:rPr>
      </w:pPr>
      <w:r w:rsidRPr="006B7E8B">
        <w:rPr>
          <w:rFonts w:ascii="Times New Roman" w:hAnsi="Times New Roman" w:cs="Times New Roman"/>
          <w:b/>
          <w:sz w:val="28"/>
          <w:szCs w:val="28"/>
          <w:lang w:val="az-Latn-AZ"/>
        </w:rPr>
        <w:t>Sxem 3.1.</w:t>
      </w:r>
      <w:r w:rsidRPr="006B7E8B">
        <w:rPr>
          <w:rFonts w:ascii="Times New Roman" w:hAnsi="Times New Roman" w:cs="Times New Roman"/>
          <w:sz w:val="28"/>
          <w:szCs w:val="28"/>
          <w:lang w:val="az-Latn-AZ"/>
        </w:rPr>
        <w:t xml:space="preserve"> Mərkəzi Bankın </w:t>
      </w:r>
      <w:r w:rsidR="0040481D"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hədəflənməsi rejimi üzrə mexanizmi</w:t>
      </w:r>
    </w:p>
    <w:p w:rsidR="00646AEC" w:rsidRPr="006B7E8B" w:rsidRDefault="00646AEC" w:rsidP="00473D1F">
      <w:pPr>
        <w:autoSpaceDE w:val="0"/>
        <w:autoSpaceDN w:val="0"/>
        <w:adjustRightInd w:val="0"/>
        <w:spacing w:after="0" w:line="360" w:lineRule="auto"/>
        <w:jc w:val="both"/>
        <w:rPr>
          <w:rFonts w:ascii="Times New Roman" w:hAnsi="Times New Roman" w:cs="Times New Roman"/>
          <w:sz w:val="28"/>
          <w:szCs w:val="28"/>
          <w:lang w:val="az-Latn-AZ"/>
        </w:rPr>
      </w:pP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Digər ölkələrlə yana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da Azərbaycan iqtisadiyyatı üçün də bu </w:t>
      </w:r>
      <w:r w:rsidR="00F44FC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sürətləndirilməsi və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dırılan həddən kənara çıxması halları mü</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ahidə edilə bilər. Belə ki, ölkəmizdə 2006-cı ildə orta illik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həddini 8.4 % tə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kil etmi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 Mərkəzi Bankın bu istiqamətdə açıqlamalarına əsasən,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göstə</w:t>
      </w:r>
      <w:r w:rsidR="0040481D" w:rsidRPr="006B7E8B">
        <w:rPr>
          <w:rFonts w:ascii="Times New Roman" w:hAnsi="Times New Roman" w:cs="Times New Roman"/>
          <w:sz w:val="28"/>
          <w:szCs w:val="28"/>
          <w:lang w:val="az-Latn-AZ"/>
        </w:rPr>
        <w:t>ricisinin 23%-i</w:t>
      </w:r>
      <w:r w:rsidRPr="006B7E8B">
        <w:rPr>
          <w:rFonts w:ascii="Times New Roman" w:hAnsi="Times New Roman" w:cs="Times New Roman"/>
          <w:sz w:val="28"/>
          <w:szCs w:val="28"/>
          <w:lang w:val="az-Latn-AZ"/>
        </w:rPr>
        <w:t xml:space="preserve"> Qeyri monetar amillərlə</w:t>
      </w:r>
      <w:r w:rsidR="0040481D" w:rsidRPr="006B7E8B">
        <w:rPr>
          <w:rFonts w:ascii="Times New Roman" w:hAnsi="Times New Roman" w:cs="Times New Roman"/>
          <w:sz w:val="28"/>
          <w:szCs w:val="28"/>
          <w:lang w:val="az-Latn-AZ"/>
        </w:rPr>
        <w:t xml:space="preserve"> , 77 %-i</w:t>
      </w:r>
      <w:r w:rsidRPr="006B7E8B">
        <w:rPr>
          <w:rFonts w:ascii="Times New Roman" w:hAnsi="Times New Roman" w:cs="Times New Roman"/>
          <w:sz w:val="28"/>
          <w:szCs w:val="28"/>
          <w:lang w:val="az-Latn-AZ"/>
        </w:rPr>
        <w:t xml:space="preserve"> isə monetar amillərlə əlaqəli olmu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dur. Rəsmi məlumatlara əsasən qeyd edə bilərik ki,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bir sıra faktorların təsiri altında formala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ır ki, bunlar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ağıdakılardan ibarə</w:t>
      </w:r>
      <w:r w:rsidR="00646AEC" w:rsidRPr="006B7E8B">
        <w:rPr>
          <w:rFonts w:ascii="Times New Roman" w:hAnsi="Times New Roman" w:cs="Times New Roman"/>
          <w:sz w:val="28"/>
          <w:szCs w:val="28"/>
          <w:lang w:val="az-Latn-AZ"/>
        </w:rPr>
        <w:t>tdir</w:t>
      </w:r>
      <w:r w:rsidRPr="006B7E8B">
        <w:rPr>
          <w:rFonts w:ascii="Times New Roman" w:hAnsi="Times New Roman" w:cs="Times New Roman"/>
          <w:sz w:val="28"/>
          <w:szCs w:val="28"/>
          <w:lang w:val="az-Latn-AZ"/>
        </w:rPr>
        <w:t xml:space="preserve">: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1) Fiskal- valyuta ekspansiyası;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2) Məsrəf </w:t>
      </w:r>
      <w:r w:rsidR="00F44FC1"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 xml:space="preserve">sı;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3) əmək məhsuldarlığının artım tempi əmək haqqının artım tempi arasındakı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ılıqlı əlaqənin və fə</w:t>
      </w:r>
      <w:r w:rsidR="00646AEC" w:rsidRPr="006B7E8B">
        <w:rPr>
          <w:rFonts w:ascii="Times New Roman" w:hAnsi="Times New Roman" w:cs="Times New Roman"/>
          <w:sz w:val="28"/>
          <w:szCs w:val="28"/>
          <w:lang w:val="az-Latn-AZ"/>
        </w:rPr>
        <w:t>rqin artması</w:t>
      </w:r>
      <w:r w:rsidRPr="006B7E8B">
        <w:rPr>
          <w:rFonts w:ascii="Times New Roman" w:hAnsi="Times New Roman" w:cs="Times New Roman"/>
          <w:sz w:val="28"/>
          <w:szCs w:val="28"/>
          <w:lang w:val="az-Latn-AZ"/>
        </w:rPr>
        <w:t xml:space="preserve">;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4) tələbin təklifə nisbətən yüksək artım tempi və belə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əraitdə təklifin geni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lənən tələbə nisbətən daha gec reaksiya verməsidir;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5) enerji</w:t>
      </w:r>
      <w:r w:rsidR="0040481D"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lang w:val="az-Latn-AZ"/>
        </w:rPr>
        <w:t>da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ıyıcılarının dünya qiymətlərinin artmasının təsiri altında partnyor ölkələrdə</w:t>
      </w:r>
      <w:r w:rsidR="00646AEC" w:rsidRPr="006B7E8B">
        <w:rPr>
          <w:rFonts w:ascii="Times New Roman" w:hAnsi="Times New Roman" w:cs="Times New Roman"/>
          <w:sz w:val="28"/>
          <w:szCs w:val="28"/>
          <w:lang w:val="az-Latn-AZ"/>
        </w:rPr>
        <w:t xml:space="preserve">n </w:t>
      </w:r>
      <w:r w:rsidR="00EC49ED" w:rsidRPr="006B7E8B">
        <w:rPr>
          <w:rFonts w:ascii="Times New Roman" w:hAnsi="Times New Roman" w:cs="Times New Roman"/>
          <w:sz w:val="28"/>
          <w:szCs w:val="28"/>
          <w:lang w:val="az-Latn-AZ"/>
        </w:rPr>
        <w:t xml:space="preserve">devalvasiya </w:t>
      </w:r>
      <w:r w:rsidR="00646AEC" w:rsidRPr="006B7E8B">
        <w:rPr>
          <w:rFonts w:ascii="Times New Roman" w:hAnsi="Times New Roman" w:cs="Times New Roman"/>
          <w:sz w:val="28"/>
          <w:szCs w:val="28"/>
          <w:lang w:val="az-Latn-AZ"/>
        </w:rPr>
        <w:t xml:space="preserve"> idxalı.</w:t>
      </w:r>
      <w:r w:rsidRPr="006B7E8B">
        <w:rPr>
          <w:rFonts w:ascii="Times New Roman" w:hAnsi="Times New Roman" w:cs="Times New Roman"/>
          <w:sz w:val="28"/>
          <w:szCs w:val="28"/>
          <w:lang w:val="az-Latn-AZ"/>
        </w:rPr>
        <w:t xml:space="preserve"> </w:t>
      </w:r>
    </w:p>
    <w:p w:rsidR="002924D4"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Bu faktorlara əsasən qeyd edə bilərik ki, ölkəmiz üçün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prosesi mühüm əhəmiyyət kəsb edir və aktual hesab edilir. Buna müvafiq olaraq, Azərbaycanın iqtisadi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afı yeni mərhələyə daxil olduğu bir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əraitdə makroiqtisadi sabitliyi qoruyub saxlamaq, eləcədə maliyyə ehtiyatlarını səfərbər etmək və onlardan istifadənin səmərəliyini artırmaq, mövcud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güzar mühit və investisiya fəallığını, habelə həyata keçirilən islahatların sosial əhəmiyyətini və əhalinin gəlirlərinin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prosesindən qorumaq məqsədilə Azərbaycan Respublikasında anti</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tədbirlərinin gücləndirilməsi haqqında Azərbaycan Respublikası Prezidentinin Fərmanına 2005-ci ildə qəbul edilmi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 Bu zaman müvafiq formada Mərkəzi Bankın dövlətlə birlikdə yerinə yetirdiyi anti</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tədbirləri tez bir zamanda özünün yüksək qiymət artımlarını sona çatması və stabillə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 ilə əvəz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dur</w:t>
      </w:r>
      <w:r w:rsidR="00DC7C4C" w:rsidRPr="006B7E8B">
        <w:rPr>
          <w:rFonts w:ascii="Times New Roman" w:hAnsi="Times New Roman" w:cs="Times New Roman"/>
          <w:sz w:val="28"/>
          <w:szCs w:val="28"/>
          <w:lang w:val="az-Latn-AZ"/>
        </w:rPr>
        <w:t xml:space="preserve"> </w:t>
      </w:r>
      <w:r w:rsidR="00DC7C4C" w:rsidRPr="006B7E8B">
        <w:rPr>
          <w:rStyle w:val="FootnoteReference"/>
          <w:rFonts w:ascii="Times New Roman" w:hAnsi="Times New Roman" w:cs="Times New Roman"/>
          <w:sz w:val="28"/>
          <w:szCs w:val="28"/>
          <w:lang w:val="az-Latn-AZ"/>
        </w:rPr>
        <w:footnoteReference w:id="16"/>
      </w:r>
      <w:r w:rsidRPr="006B7E8B">
        <w:rPr>
          <w:rFonts w:ascii="Times New Roman" w:hAnsi="Times New Roman" w:cs="Times New Roman"/>
          <w:sz w:val="28"/>
          <w:szCs w:val="28"/>
          <w:lang w:val="az-Latn-AZ"/>
        </w:rPr>
        <w:t>.</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Müasir dövrdəki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hə</w:t>
      </w:r>
      <w:r w:rsidR="00D31F94" w:rsidRPr="006B7E8B">
        <w:rPr>
          <w:rFonts w:ascii="Times New Roman" w:hAnsi="Times New Roman" w:cs="Times New Roman"/>
          <w:sz w:val="28"/>
          <w:szCs w:val="28"/>
          <w:lang w:val="az-Latn-AZ"/>
        </w:rPr>
        <w:t>ddi</w:t>
      </w:r>
      <w:r w:rsidRPr="006B7E8B">
        <w:rPr>
          <w:rFonts w:ascii="Times New Roman" w:hAnsi="Times New Roman" w:cs="Times New Roman"/>
          <w:sz w:val="28"/>
          <w:szCs w:val="28"/>
          <w:lang w:val="az-Latn-AZ"/>
        </w:rPr>
        <w:t xml:space="preserve"> ölkədə gedən bir sıra proseslərdə mə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ğulluq, iqtisadi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af tempini yüksək həddin saxlanılması, əmək haqqı qiymətlərin tənzimlənməsi və ölkədə fəaliyyət göstərən müəssisələrin məhsul istehsalı zamanı onların müəyyənlə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dirdiyi qiymətlərin tənzimlənməsi baxımından mühüm </w:t>
      </w:r>
      <w:r w:rsidR="00D31F94" w:rsidRPr="006B7E8B">
        <w:rPr>
          <w:rFonts w:ascii="Times New Roman" w:hAnsi="Times New Roman" w:cs="Times New Roman"/>
          <w:sz w:val="28"/>
          <w:szCs w:val="28"/>
          <w:lang w:val="az-Latn-AZ"/>
        </w:rPr>
        <w:t>rol oynayır</w:t>
      </w:r>
      <w:r w:rsidRPr="006B7E8B">
        <w:rPr>
          <w:rFonts w:ascii="Times New Roman" w:hAnsi="Times New Roman" w:cs="Times New Roman"/>
          <w:sz w:val="28"/>
          <w:szCs w:val="28"/>
          <w:lang w:val="az-Latn-AZ"/>
        </w:rPr>
        <w:t xml:space="preserve">. Bu istiqamətdə Mərkəzi Bankının müstəqil formada fəaliyyəti və müstəqilliyinin qanunvericiliyin təmin olunması,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rejimində effektliyini artıran səbəblərdən hesab edilir. Belə ki, Mərkəzi Bankın müstəqil formada fəaliyyət göstərməsi ölkədəki pul kredit siyasətini də müstəqil və düzgün qərarlardan müxtəlif təzyiqlərdən qorunması mənasını ifadə edir. Bütün bunlarla yana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Azərbaycan Respublikası Mərkəzi Bank Haqqında Qanundan onun müstəqilliyi vurğulanaraq, əsas hədəfi qiymətlərin stabilliyinin təmin edilməsi və həmçinin Mərkəzi Bankın hesabatlıq formasını dəqiq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əkildə müəyyən edilməsiin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nın səviyyəsinin düzgün formada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dırılmasında əhəmiyyəti əks edilmi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Ümumilikdə, Mərkəzi Bankın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ya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 mübarizə tədbirləri üzrə effektiv addımlarından biridə ilk növbədə müstəqil indeks əmsalının yüksəldilməsi hesab edilir ki, məhz müstəqillik əmsalının artırılması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ya nəzarət və anti</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tədbirlərinin effektiv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əkildə yerinə yetirilməsinin əsas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ərtidir. Bu müstəqillik əmsalının yüksəldilməsi istiqamətində yerinə yetirilən tədbirlərdən biri isə </w:t>
      </w:r>
      <w:r w:rsidR="005A68F5" w:rsidRPr="006B7E8B">
        <w:rPr>
          <w:rFonts w:ascii="Times New Roman" w:hAnsi="Times New Roman" w:cs="Times New Roman"/>
          <w:sz w:val="28"/>
          <w:szCs w:val="28"/>
          <w:lang w:val="az-Latn-AZ"/>
        </w:rPr>
        <w:t>devalvasiya</w:t>
      </w:r>
      <w:r w:rsidRPr="006B7E8B">
        <w:rPr>
          <w:rFonts w:ascii="Times New Roman" w:hAnsi="Times New Roman" w:cs="Times New Roman"/>
          <w:sz w:val="28"/>
          <w:szCs w:val="28"/>
          <w:lang w:val="az-Latn-AZ"/>
        </w:rPr>
        <w:t>nın proqnozla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 üzrə məsuliyyət da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ıyan strukturların fəaliyyətinin daha müstəqil və ən möhkəm əsaslarının qurulması üçün daima müxtəlif tədbirlər yerinə yetirməsi və eyni zamanda, beynəlxalq təcrübədən istifadə etməsidir. Mərkəzi Bank tərəfindən </w:t>
      </w:r>
      <w:r w:rsidR="00EC49ED" w:rsidRPr="006B7E8B">
        <w:rPr>
          <w:rFonts w:ascii="Times New Roman" w:hAnsi="Times New Roman" w:cs="Times New Roman"/>
          <w:sz w:val="28"/>
          <w:szCs w:val="28"/>
          <w:lang w:val="az-Latn-AZ"/>
        </w:rPr>
        <w:t xml:space="preserve">devalvasiya </w:t>
      </w:r>
      <w:r w:rsidRPr="006B7E8B">
        <w:rPr>
          <w:rFonts w:ascii="Times New Roman" w:hAnsi="Times New Roman" w:cs="Times New Roman"/>
          <w:sz w:val="28"/>
          <w:szCs w:val="28"/>
          <w:lang w:val="az-Latn-AZ"/>
        </w:rPr>
        <w:t xml:space="preserve"> qar</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mübarizə tədbirləri içərisində onun yerinə yetirdiyi pul kredit siyasətinin əsas fəaliyyətləri də çıxı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edir. Bunları nəzər salaq</w:t>
      </w:r>
      <w:r w:rsidR="00DC7C4C" w:rsidRPr="006B7E8B">
        <w:rPr>
          <w:rStyle w:val="FootnoteReference"/>
          <w:rFonts w:ascii="Times New Roman" w:hAnsi="Times New Roman" w:cs="Times New Roman"/>
          <w:sz w:val="28"/>
          <w:szCs w:val="28"/>
          <w:lang w:val="az-Latn-AZ"/>
        </w:rPr>
        <w:footnoteReference w:id="17"/>
      </w:r>
      <w:r w:rsidRPr="006B7E8B">
        <w:rPr>
          <w:rFonts w:ascii="Times New Roman" w:hAnsi="Times New Roman" w:cs="Times New Roman"/>
          <w:sz w:val="28"/>
          <w:szCs w:val="28"/>
          <w:lang w:val="az-Latn-AZ"/>
        </w:rPr>
        <w:t xml:space="preserve">: </w:t>
      </w:r>
    </w:p>
    <w:p w:rsidR="00646AEC" w:rsidRPr="006B7E8B" w:rsidRDefault="002924D4"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Açıq bazarda əməliyyatlar ; </w:t>
      </w:r>
    </w:p>
    <w:p w:rsidR="00646AEC" w:rsidRPr="006B7E8B" w:rsidRDefault="002924D4"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Ehtiyat tələbləri ; </w:t>
      </w:r>
    </w:p>
    <w:p w:rsidR="00646AEC" w:rsidRPr="006B7E8B" w:rsidRDefault="002924D4" w:rsidP="00646AEC">
      <w:pPr>
        <w:pStyle w:val="ListParagraph"/>
        <w:numPr>
          <w:ilvl w:val="0"/>
          <w:numId w:val="1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Qısa müddətli yenidən maliyyələ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dirmə əmə</w:t>
      </w:r>
      <w:r w:rsidR="00646AEC" w:rsidRPr="006B7E8B">
        <w:rPr>
          <w:rFonts w:ascii="Times New Roman" w:hAnsi="Times New Roman" w:cs="Times New Roman"/>
          <w:sz w:val="28"/>
          <w:szCs w:val="28"/>
          <w:lang w:val="az-Latn-AZ"/>
        </w:rPr>
        <w:t>liyyatları.</w:t>
      </w:r>
      <w:r w:rsidRPr="006B7E8B">
        <w:rPr>
          <w:rFonts w:ascii="Times New Roman" w:hAnsi="Times New Roman" w:cs="Times New Roman"/>
          <w:sz w:val="28"/>
          <w:szCs w:val="28"/>
          <w:lang w:val="az-Latn-AZ"/>
        </w:rPr>
        <w:t xml:space="preserve">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Açıq bazarda əməliyyatlarla ölkədəki müxtəlif maliyyə institutlarının sərəncamında olan vəsaitlərin həcminin artırılması və yaxud da azaldılması məqsədilə qiymətli kağızın alqı-satqısını özündə əks etdirir. Bu əmə</w:t>
      </w:r>
      <w:r w:rsidR="005A68F5" w:rsidRPr="006B7E8B">
        <w:rPr>
          <w:rFonts w:ascii="Times New Roman" w:hAnsi="Times New Roman" w:cs="Times New Roman"/>
          <w:sz w:val="28"/>
          <w:szCs w:val="28"/>
          <w:lang w:val="az-Latn-AZ"/>
        </w:rPr>
        <w:t>liyyatlara r</w:t>
      </w:r>
      <w:r w:rsidRPr="006B7E8B">
        <w:rPr>
          <w:rFonts w:ascii="Times New Roman" w:hAnsi="Times New Roman" w:cs="Times New Roman"/>
          <w:sz w:val="28"/>
          <w:szCs w:val="28"/>
          <w:lang w:val="az-Latn-AZ"/>
        </w:rPr>
        <w:t>epo, ə</w:t>
      </w:r>
      <w:r w:rsidR="005A68F5" w:rsidRPr="006B7E8B">
        <w:rPr>
          <w:rFonts w:ascii="Times New Roman" w:hAnsi="Times New Roman" w:cs="Times New Roman"/>
          <w:sz w:val="28"/>
          <w:szCs w:val="28"/>
          <w:lang w:val="az-Latn-AZ"/>
        </w:rPr>
        <w:t>ks repo, svot, s</w:t>
      </w:r>
      <w:r w:rsidRPr="006B7E8B">
        <w:rPr>
          <w:rFonts w:ascii="Times New Roman" w:hAnsi="Times New Roman" w:cs="Times New Roman"/>
          <w:sz w:val="28"/>
          <w:szCs w:val="28"/>
          <w:lang w:val="az-Latn-AZ"/>
        </w:rPr>
        <w:t>pot əməliyyatları daxildir. Bu əməliyyatlara ayrıca nəzər saldıqdan repo əməliyyatları Mərkəzi Bank tərəfindən qiymətli kağızların banka satı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və eyni zamandan həmin bank tərəfindən yenidən alı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ını özündə əks etdirir. Əks-repo əməliyyatlara isə müvəkkil bank vasitəsi ilə qiymətli kağızların Mərkəzi Banka satı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ı və yenidən Mərkəzi Bank tərəfindən həmin qiymətli kağızları müvəkkil banka satmaq kimi rəsmilə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dirən maliyyə əməliyyatlardır. Svop əməliyyatlara isə müəyyən bir dövrdən sonra alınan və yenidən mübadilə edilmək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ərti ilə milli valyutanın xarici valyuta mübadilə prosesidir. Onun özünün də bir neçə funksiyası vardır və bunlar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ağıdakılardan ibarə</w:t>
      </w:r>
      <w:r w:rsidR="00646AEC" w:rsidRPr="006B7E8B">
        <w:rPr>
          <w:rFonts w:ascii="Times New Roman" w:hAnsi="Times New Roman" w:cs="Times New Roman"/>
          <w:sz w:val="28"/>
          <w:szCs w:val="28"/>
          <w:lang w:val="az-Latn-AZ"/>
        </w:rPr>
        <w:t>tdir</w:t>
      </w:r>
      <w:r w:rsidRPr="006B7E8B">
        <w:rPr>
          <w:rFonts w:ascii="Times New Roman" w:hAnsi="Times New Roman" w:cs="Times New Roman"/>
          <w:sz w:val="28"/>
          <w:szCs w:val="28"/>
          <w:lang w:val="az-Latn-AZ"/>
        </w:rPr>
        <w:t xml:space="preserve">: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1. Likvidliyin idarəedilməsi – Mərkəzi Bank tərəfindən ehtiyat tələblərinin korreksiya edilməsi bankların likvidliyinin idarə edilməsinə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ərait yaradır. </w:t>
      </w:r>
    </w:p>
    <w:p w:rsidR="00646AEC"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2. Pul təklifinin tənzimlənməsi – Ehtiyat tələbləri vasitəsilə bankların kredit emissiyasının məhdudla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dırılması ba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verə bilər. </w:t>
      </w:r>
    </w:p>
    <w:p w:rsidR="002924D4" w:rsidRPr="006B7E8B" w:rsidRDefault="002924D4"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3. Pul buferi- banklararası bazarda likvidlik çatı</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mazlığı zamanı qısa müddətli faiz dərəcəsinin yüksəlməsinə özündə əks etdirir. Bu situasiyanın tənzimlənməsi və stabillə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dirilməsi məqsədilə Mərkəzi Bank ehtiyat tələblərin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ağı salaraq bazaralikvid vəsaitlərin daxil olmasına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ərait yaradır.</w:t>
      </w:r>
    </w:p>
    <w:p w:rsidR="00BE4617" w:rsidRPr="006B7E8B" w:rsidRDefault="00BE461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7F7AC2" w:rsidRPr="006B7E8B" w:rsidRDefault="007F7AC2"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7F7AC2" w:rsidRPr="006B7E8B" w:rsidRDefault="007F7AC2"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251BAA" w:rsidRDefault="00251BAA" w:rsidP="006B7E8B">
      <w:pPr>
        <w:pStyle w:val="Heading1"/>
        <w:rPr>
          <w:rFonts w:ascii="Times New Roman" w:hAnsi="Times New Roman" w:cs="Times New Roman"/>
          <w:lang w:val="az-Latn-AZ"/>
        </w:rPr>
      </w:pPr>
      <w:bookmarkStart w:id="21" w:name="_Toc8806580"/>
      <w:bookmarkStart w:id="22" w:name="_Toc8806923"/>
    </w:p>
    <w:p w:rsidR="00251BAA" w:rsidRDefault="00251BAA" w:rsidP="006B7E8B">
      <w:pPr>
        <w:pStyle w:val="Heading1"/>
        <w:rPr>
          <w:rFonts w:ascii="Times New Roman" w:hAnsi="Times New Roman" w:cs="Times New Roman"/>
          <w:lang w:val="az-Latn-AZ"/>
        </w:rPr>
      </w:pPr>
    </w:p>
    <w:p w:rsidR="00251BAA" w:rsidRDefault="00251BAA" w:rsidP="006B7E8B">
      <w:pPr>
        <w:pStyle w:val="Heading1"/>
        <w:rPr>
          <w:rFonts w:ascii="Times New Roman" w:hAnsi="Times New Roman" w:cs="Times New Roman"/>
          <w:lang w:val="az-Latn-AZ"/>
        </w:rPr>
      </w:pPr>
    </w:p>
    <w:p w:rsidR="00251BAA" w:rsidRPr="00251BAA" w:rsidRDefault="00251BAA" w:rsidP="00251BAA">
      <w:pPr>
        <w:rPr>
          <w:lang w:val="az-Latn-AZ"/>
        </w:rPr>
      </w:pPr>
    </w:p>
    <w:p w:rsidR="00BE4617" w:rsidRPr="006B7E8B" w:rsidRDefault="002A4130" w:rsidP="006B7E8B">
      <w:pPr>
        <w:pStyle w:val="Heading1"/>
        <w:rPr>
          <w:rFonts w:ascii="Times New Roman" w:hAnsi="Times New Roman" w:cs="Times New Roman"/>
          <w:lang w:val="az-Latn-AZ"/>
        </w:rPr>
      </w:pPr>
      <w:r w:rsidRPr="006B7E8B">
        <w:rPr>
          <w:rFonts w:ascii="Times New Roman" w:hAnsi="Times New Roman" w:cs="Times New Roman"/>
          <w:lang w:val="az-Latn-AZ"/>
        </w:rPr>
        <w:t>Nəticə</w:t>
      </w:r>
      <w:bookmarkEnd w:id="21"/>
      <w:bookmarkEnd w:id="22"/>
    </w:p>
    <w:p w:rsidR="00606B43" w:rsidRDefault="002A4130"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Tədqiqat 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ində devalvasiya mahiyyəti analiz olunmu</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 xml:space="preserve">, </w:t>
      </w:r>
      <w:r w:rsidR="00606B43" w:rsidRPr="00606B43">
        <w:rPr>
          <w:rFonts w:ascii="Times New Roman" w:hAnsi="Times New Roman" w:cs="Times New Roman"/>
          <w:sz w:val="28"/>
          <w:szCs w:val="28"/>
          <w:lang w:val="az-Latn-AZ"/>
        </w:rPr>
        <w:t>risklərin idarə edilməsi üsulları müəyyən edilmiş və risklərin idarə edilməsi zamanı qarşılaşdıqları problemlər araşdırılmışdır. Riskin bu və digər fəaliyyət itkisinin nəticəsi olması gözlənilir. Risklərin qəbul edilməsi bank işinin əsasını təşkil edir. Banklar əvvəlcədən qəbul edilən risklərin idarə oluna biləcəyini bildikdə müvəffəqiyyətə nail ola bilərlər və həm də maliyyə və tıxaclarda özləri ilə məşğul ola biləcəklər. Banklar daha çox mənfəət əldə etməyə çalışırlar. Ancaq bu təşəbbüs itkiyə səbəb ola bilər. Bank əməliyyatlarının riskləri, ehtimal ki, bankın planladığından daha az maddi əldə olma ehtimalını ehtiva edir. Alınan məbləğ nə qədər yüksəksə, risk daha çox olur. Devalvasiya effektiv idarəetmə devalüasyon monitorundan onların qiymətləndirilməsinə qədər geniş sahələri əhatə edir. Hər bir bank azaldılması barədə düşünməlidir. Bankın fəaliyyətini davam etdirməsi çox vacibdir. Risklərin minimallaşdırılması riskləri azaltmaq, yəni daha aydın şəkildə idarə etmək üçün bir növ mübarizədir. Bu proses özündə ehtiva edir: riskləri görmək; onların faktiki dərəcələri və nəticələrini müəyyənləşdirmək; Onların qarşısının alınması və ya azaldılması ilə bağlı tədbirlərin planını hazırlayın. Bank riskləri ilə mübarizə aparmaq üçün ən çox istifadə edilən üsullar: Risklərin aradan qaldırılması və ya rədd edilməsi üsulu; özünüzə risk vermək; itkilərin qarşısının alınması; sığortalanma; risklərin ötürülməsi.</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 xml:space="preserve">Devalvaziyanın azaldılması üsulları aşağıdakılardır: </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 xml:space="preserve">1) bunker; </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 xml:space="preserve">2) maliyyə resurslarının yaradılması (özünü sığorta); </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 xml:space="preserve">3) diversifikasiya; </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 xml:space="preserve">4) sahibkarlıq layihələri iştirakçıları arasında risk bölüşdürülməsi. </w:t>
      </w:r>
    </w:p>
    <w:p w:rsidR="00606B43"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06B43">
        <w:rPr>
          <w:rFonts w:ascii="Times New Roman" w:hAnsi="Times New Roman" w:cs="Times New Roman"/>
          <w:sz w:val="28"/>
          <w:szCs w:val="28"/>
          <w:lang w:val="az-Latn-AZ"/>
        </w:rPr>
        <w:t>Beləliklə, müasir şəraitdə kredit təşkilatlarının idarə edilməsi üçün risk idarəetmə sisteminin yaradılması və bu sistem çərçivəsində onun xüsusiyyətlərinə və ölçülərinə görə kifayət qədər fəaliyyət yaratmaq vacibdir.</w:t>
      </w:r>
    </w:p>
    <w:p w:rsidR="00BE4617" w:rsidRPr="006B7E8B" w:rsidRDefault="0010217F"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Banklarda dev</w:t>
      </w:r>
      <w:r w:rsidR="00F33E14" w:rsidRPr="006B7E8B">
        <w:rPr>
          <w:rFonts w:ascii="Times New Roman" w:hAnsi="Times New Roman" w:cs="Times New Roman"/>
          <w:sz w:val="28"/>
          <w:szCs w:val="28"/>
          <w:lang w:val="az-Latn-AZ"/>
        </w:rPr>
        <w:t>a</w:t>
      </w:r>
      <w:r w:rsidRPr="006B7E8B">
        <w:rPr>
          <w:rFonts w:ascii="Times New Roman" w:hAnsi="Times New Roman" w:cs="Times New Roman"/>
          <w:sz w:val="28"/>
          <w:szCs w:val="28"/>
          <w:lang w:val="az-Latn-AZ"/>
        </w:rPr>
        <w:t>lvasiyanın aradan qaldırılması üçün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ağıdakı təklifləri vermək olar:</w:t>
      </w:r>
    </w:p>
    <w:p w:rsidR="0010217F" w:rsidRPr="006B7E8B" w:rsidRDefault="0010217F"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Bankların </w:t>
      </w:r>
      <w:r w:rsidR="00842472" w:rsidRPr="006B7E8B">
        <w:rPr>
          <w:rFonts w:ascii="Times New Roman" w:hAnsi="Times New Roman" w:cs="Times New Roman"/>
          <w:sz w:val="28"/>
          <w:szCs w:val="28"/>
          <w:lang w:val="az-Latn-AZ"/>
        </w:rPr>
        <w:t>kredit portfelinə uyğun</w:t>
      </w:r>
      <w:r w:rsidRPr="006B7E8B">
        <w:rPr>
          <w:rFonts w:ascii="Times New Roman" w:hAnsi="Times New Roman" w:cs="Times New Roman"/>
          <w:sz w:val="28"/>
          <w:szCs w:val="28"/>
          <w:lang w:val="az-Latn-AZ"/>
        </w:rPr>
        <w:t xml:space="preserve"> </w:t>
      </w:r>
      <w:r w:rsidR="00842472" w:rsidRPr="006B7E8B">
        <w:rPr>
          <w:rFonts w:ascii="Times New Roman" w:hAnsi="Times New Roman" w:cs="Times New Roman"/>
          <w:sz w:val="28"/>
          <w:szCs w:val="28"/>
          <w:lang w:val="az-Latn-AZ"/>
        </w:rPr>
        <w:t>bankın vəziyyətinə əsasən mütamadi dəyi</w:t>
      </w:r>
      <w:r w:rsidR="007F7AC2" w:rsidRPr="006B7E8B">
        <w:rPr>
          <w:rFonts w:ascii="Times New Roman" w:hAnsi="Times New Roman" w:cs="Times New Roman"/>
          <w:sz w:val="28"/>
          <w:szCs w:val="28"/>
          <w:lang w:val="az-Latn-AZ"/>
        </w:rPr>
        <w:t>ş</w:t>
      </w:r>
      <w:r w:rsidR="00842472" w:rsidRPr="006B7E8B">
        <w:rPr>
          <w:rFonts w:ascii="Times New Roman" w:hAnsi="Times New Roman" w:cs="Times New Roman"/>
          <w:sz w:val="28"/>
          <w:szCs w:val="28"/>
          <w:lang w:val="az-Latn-AZ"/>
        </w:rPr>
        <w:t>ən model hazırlmaq</w:t>
      </w:r>
      <w:r w:rsidRPr="006B7E8B">
        <w:rPr>
          <w:rFonts w:ascii="Times New Roman" w:hAnsi="Times New Roman" w:cs="Times New Roman"/>
          <w:sz w:val="28"/>
          <w:szCs w:val="28"/>
          <w:lang w:val="az-Latn-AZ"/>
        </w:rPr>
        <w:t>;</w:t>
      </w:r>
    </w:p>
    <w:p w:rsidR="0010217F" w:rsidRPr="006B7E8B" w:rsidRDefault="00842472"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Banklarda daim stress testlər keçirmək;</w:t>
      </w:r>
    </w:p>
    <w:p w:rsidR="00842472" w:rsidRPr="006B7E8B" w:rsidRDefault="00842472" w:rsidP="0010217F">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Bankın içində olduğu vəziyyəti daim ara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dırıb zəif nöqtələri a</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klarlamaq.</w:t>
      </w:r>
    </w:p>
    <w:p w:rsidR="00BE4617" w:rsidRPr="006B7E8B" w:rsidRDefault="00BE461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P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B7E8B" w:rsidRDefault="006B7E8B"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606B43" w:rsidRPr="006B7E8B" w:rsidRDefault="00606B43"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E4617" w:rsidRPr="006B7E8B" w:rsidRDefault="00BE461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E4617" w:rsidRPr="006B7E8B" w:rsidRDefault="00BE4617" w:rsidP="00646AEC">
      <w:pPr>
        <w:autoSpaceDE w:val="0"/>
        <w:autoSpaceDN w:val="0"/>
        <w:adjustRightInd w:val="0"/>
        <w:spacing w:after="0" w:line="360" w:lineRule="auto"/>
        <w:ind w:firstLine="708"/>
        <w:jc w:val="both"/>
        <w:rPr>
          <w:rFonts w:ascii="Times New Roman" w:hAnsi="Times New Roman" w:cs="Times New Roman"/>
          <w:sz w:val="28"/>
          <w:szCs w:val="28"/>
          <w:lang w:val="az-Latn-AZ"/>
        </w:rPr>
      </w:pPr>
    </w:p>
    <w:p w:rsidR="00BE4617" w:rsidRPr="006B7E8B" w:rsidRDefault="00BE4617" w:rsidP="006B7E8B">
      <w:pPr>
        <w:pStyle w:val="Heading1"/>
        <w:rPr>
          <w:rFonts w:ascii="Times New Roman" w:hAnsi="Times New Roman" w:cs="Times New Roman"/>
          <w:lang w:val="az-Latn-AZ"/>
        </w:rPr>
      </w:pPr>
      <w:bookmarkStart w:id="23" w:name="_Toc8806581"/>
      <w:bookmarkStart w:id="24" w:name="_Toc8806924"/>
      <w:r w:rsidRPr="006B7E8B">
        <w:rPr>
          <w:rFonts w:ascii="Times New Roman" w:hAnsi="Times New Roman" w:cs="Times New Roman"/>
          <w:lang w:val="az-Latn-AZ"/>
        </w:rPr>
        <w:t>İstifadə olunmu</w:t>
      </w:r>
      <w:r w:rsidR="007F7AC2" w:rsidRPr="006B7E8B">
        <w:rPr>
          <w:rFonts w:ascii="Times New Roman" w:hAnsi="Times New Roman" w:cs="Times New Roman"/>
          <w:lang w:val="az-Latn-AZ"/>
        </w:rPr>
        <w:t>ş</w:t>
      </w:r>
      <w:r w:rsidRPr="006B7E8B">
        <w:rPr>
          <w:rFonts w:ascii="Times New Roman" w:hAnsi="Times New Roman" w:cs="Times New Roman"/>
          <w:lang w:val="az-Latn-AZ"/>
        </w:rPr>
        <w:t xml:space="preserve"> ədəbiyyat siyahısı</w:t>
      </w:r>
      <w:bookmarkEnd w:id="23"/>
      <w:bookmarkEnd w:id="24"/>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“Dünya İqtisadiyyatının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af Paradiqması:Bazar və Sonrası” mövzusunda Məruzələr Kitabı. Bakı-2013</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A.Zülfüqarov, O.İsmayılov. “Bank böhranları:qiymətləndirmə metodologiyaları”. Bakı-2009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E.Əliyev. “Milli iqtisadiyyatın lokomotivi olan bank sektoru qlobal böhranı əzmlə dəf edir:Respublikamızın uğurla həyata keçirdiyi antiböhran tədbirləri bank sektorunun hər hansı problemlə üzlə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məsini birmənali istisna edir”.[ Mətn] //Azərbaycan-2009-13 mart-5səh.</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 xml:space="preserve">E.Hacalıyev. “Qlobal maliyyə-iqtisadi böhran </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əraitində Azərbaycanda makroiqtisadi sabitlik təmin edilib”.[Mətn]//Azərbaycan-2016-22 sentyabr-7səh.</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E.Sadıqov. “Bank əməliyyatları”. Bakı-2010</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F.F.Mustafayev. “Keçid iqtisadiyyatında dövlət tənzimlənməsinin  makroiqtisadi aspektləri”. “Elm”. Bakı-2008</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G.Kərimli. “Qlobal maliyyə böhranının ikinci dalğası qaçılmazdır”. “Ülfət qəzeti”. Bakı-2010</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İ.İsayev. “Manatın devalvasiyası məqsədəuyğun addımdır”. Məqalə. Bakı-2015</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en-US"/>
        </w:rPr>
        <w:t>Ibrahimov Z. Pul, kredit və banklar (suallara cavab). Bakı, 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Məsimli. “Dünya maliyyə böhranı və Azərbaycan”. Məqalə. Bakı-2009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6B7E8B">
        <w:rPr>
          <w:rFonts w:ascii="Times New Roman" w:hAnsi="Times New Roman" w:cs="Times New Roman"/>
          <w:sz w:val="28"/>
          <w:szCs w:val="28"/>
          <w:lang w:val="az-Latn-AZ"/>
        </w:rPr>
        <w:t xml:space="preserve">Q.İbadoğlu. “Qlobal maliyyə böhranının Azərbaycan iqtisadiyyatına təsirləri”. </w:t>
      </w:r>
      <w:r w:rsidRPr="006B7E8B">
        <w:rPr>
          <w:rFonts w:ascii="Times New Roman" w:hAnsi="Times New Roman" w:cs="Times New Roman"/>
          <w:sz w:val="28"/>
          <w:szCs w:val="28"/>
          <w:lang w:val="en-US"/>
        </w:rPr>
        <w:t>Məqalə. Bakı-2009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Stiqlitsin məruzəsi. “Beynəlxalq valyuta-maliyyə sistemində islahatlar:qlobal böhranın nəticələri” barədə. “İqtisad Universiteti” Nə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riyyatı. Bakı-2012</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V.Bayramov, K.Kərimzadə, İ.Poluxov. “Azərbaycan Respublikasının Antiböhran Konsepsiyası”, İqtisadi və Sosial İnki</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af Mərkəzi. Bakı-2009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V.K.Lomakin. “Dünya iqtisadiyyatı”. Dərslik. (Rus dilindən tərcümə). “İqtisad Universiteti Nə</w:t>
      </w:r>
      <w:r w:rsidR="007F7AC2" w:rsidRPr="006B7E8B">
        <w:rPr>
          <w:rFonts w:ascii="Times New Roman" w:hAnsi="Times New Roman" w:cs="Times New Roman"/>
          <w:sz w:val="28"/>
          <w:szCs w:val="28"/>
          <w:lang w:val="az-Latn-AZ"/>
        </w:rPr>
        <w:t>ş</w:t>
      </w:r>
      <w:r w:rsidRPr="006B7E8B">
        <w:rPr>
          <w:rFonts w:ascii="Times New Roman" w:hAnsi="Times New Roman" w:cs="Times New Roman"/>
          <w:sz w:val="28"/>
          <w:szCs w:val="28"/>
          <w:lang w:val="az-Latn-AZ"/>
        </w:rPr>
        <w:t>riyyatı”. Bakı-2013</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V.Rüstəmova, R.Vaqifoğlu. “Manatın devalvasiyası qaçılmazdır”. Məqalə. Bakı-2015</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6B7E8B">
        <w:rPr>
          <w:rFonts w:ascii="Times New Roman" w:hAnsi="Times New Roman" w:cs="Times New Roman"/>
          <w:sz w:val="28"/>
          <w:szCs w:val="28"/>
          <w:lang w:val="az-Latn-AZ"/>
        </w:rPr>
        <w:t xml:space="preserve">V.Zeynalov . “Maliyyə böhranı:tarix, nəzəriyyə və antiböhran siyasət”. </w:t>
      </w:r>
      <w:r w:rsidRPr="006B7E8B">
        <w:rPr>
          <w:rFonts w:ascii="Times New Roman" w:hAnsi="Times New Roman" w:cs="Times New Roman"/>
          <w:sz w:val="28"/>
          <w:szCs w:val="28"/>
          <w:lang w:val="en-US"/>
        </w:rPr>
        <w:t>Bakı-2012, 176səh.</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Z.F.Məmmədov. “Bank fəaliyyətinin əsasları”. Bakı-2013</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en-US"/>
        </w:rPr>
        <w:t>Z.F.Məmmədov. Pul , kredit və banklar. Bakı, 2009.</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Аникин А.В. История финансовых потрясений от Джона Ло до Сергея</w:t>
      </w:r>
      <w:r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rPr>
        <w:t>Кириенко. - М: ЗАО «Олимп-бизнес» 2002.-448 c</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Банковский менеджмент. Издательство: КноРус, 2010 .</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Былиняк С.А. Адаптация к мировому хозяйству: опыт Азии и российские</w:t>
      </w:r>
      <w:r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rPr>
        <w:t>проблемы. – М.: Институт Востоковедения РАН, 1999. – s. 176</w:t>
      </w:r>
    </w:p>
    <w:p w:rsidR="00BE4617" w:rsidRPr="006B7E8B" w:rsidRDefault="00BE4617" w:rsidP="00BE4617">
      <w:pPr>
        <w:pStyle w:val="FootnoteText"/>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Константинов Ю.А., Ильинский А.Н. Финансовый кризис: причины и преодоление. Москва: Финстатинформ, 1999. С.70</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Кругман П.Р., Обстфельд М. Международная экономика. Теория и</w:t>
      </w:r>
      <w:r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rPr>
        <w:t>политика: учебник для вузов: пер. с англ. /под ред. В</w:t>
      </w:r>
      <w:r w:rsidRPr="006B7E8B">
        <w:rPr>
          <w:rFonts w:ascii="Times New Roman" w:hAnsi="Times New Roman" w:cs="Times New Roman"/>
          <w:sz w:val="28"/>
          <w:szCs w:val="28"/>
          <w:lang w:val="en-US"/>
        </w:rPr>
        <w:t>.</w:t>
      </w:r>
      <w:r w:rsidRPr="006B7E8B">
        <w:rPr>
          <w:rFonts w:ascii="Times New Roman" w:hAnsi="Times New Roman" w:cs="Times New Roman"/>
          <w:sz w:val="28"/>
          <w:szCs w:val="28"/>
        </w:rPr>
        <w:t>П</w:t>
      </w:r>
      <w:r w:rsidRPr="006B7E8B">
        <w:rPr>
          <w:rFonts w:ascii="Times New Roman" w:hAnsi="Times New Roman" w:cs="Times New Roman"/>
          <w:sz w:val="28"/>
          <w:szCs w:val="28"/>
          <w:lang w:val="en-US"/>
        </w:rPr>
        <w:t>.</w:t>
      </w:r>
      <w:r w:rsidRPr="006B7E8B">
        <w:rPr>
          <w:rFonts w:ascii="Times New Roman" w:hAnsi="Times New Roman" w:cs="Times New Roman"/>
          <w:sz w:val="28"/>
          <w:szCs w:val="28"/>
        </w:rPr>
        <w:t>Колесова</w:t>
      </w:r>
      <w:r w:rsidRPr="006B7E8B">
        <w:rPr>
          <w:rFonts w:ascii="Times New Roman" w:hAnsi="Times New Roman" w:cs="Times New Roman"/>
          <w:sz w:val="28"/>
          <w:szCs w:val="28"/>
          <w:lang w:val="en-US"/>
        </w:rPr>
        <w:t xml:space="preserve"> – </w:t>
      </w:r>
      <w:r w:rsidRPr="006B7E8B">
        <w:rPr>
          <w:rFonts w:ascii="Times New Roman" w:hAnsi="Times New Roman" w:cs="Times New Roman"/>
          <w:sz w:val="28"/>
          <w:szCs w:val="28"/>
        </w:rPr>
        <w:t>М</w:t>
      </w:r>
      <w:r w:rsidRPr="006B7E8B">
        <w:rPr>
          <w:rFonts w:ascii="Times New Roman" w:hAnsi="Times New Roman" w:cs="Times New Roman"/>
          <w:sz w:val="28"/>
          <w:szCs w:val="28"/>
          <w:lang w:val="en-US"/>
        </w:rPr>
        <w:t>.:</w:t>
      </w:r>
      <w:r w:rsidRPr="006B7E8B">
        <w:rPr>
          <w:rFonts w:ascii="Times New Roman" w:hAnsi="Times New Roman" w:cs="Times New Roman"/>
          <w:sz w:val="28"/>
          <w:szCs w:val="28"/>
          <w:lang w:val="az-Latn-AZ"/>
        </w:rPr>
        <w:t xml:space="preserve"> </w:t>
      </w:r>
      <w:r w:rsidRPr="006B7E8B">
        <w:rPr>
          <w:rFonts w:ascii="Times New Roman" w:hAnsi="Times New Roman" w:cs="Times New Roman"/>
          <w:sz w:val="28"/>
          <w:szCs w:val="28"/>
        </w:rPr>
        <w:t>Экономический</w:t>
      </w:r>
      <w:r w:rsidRPr="006B7E8B">
        <w:rPr>
          <w:rFonts w:ascii="Times New Roman" w:hAnsi="Times New Roman" w:cs="Times New Roman"/>
          <w:sz w:val="28"/>
          <w:szCs w:val="28"/>
          <w:lang w:val="en-US"/>
        </w:rPr>
        <w:t xml:space="preserve"> </w:t>
      </w:r>
      <w:r w:rsidRPr="006B7E8B">
        <w:rPr>
          <w:rFonts w:ascii="Times New Roman" w:hAnsi="Times New Roman" w:cs="Times New Roman"/>
          <w:sz w:val="28"/>
          <w:szCs w:val="28"/>
        </w:rPr>
        <w:t>факультет</w:t>
      </w:r>
      <w:r w:rsidRPr="006B7E8B">
        <w:rPr>
          <w:rFonts w:ascii="Times New Roman" w:hAnsi="Times New Roman" w:cs="Times New Roman"/>
          <w:sz w:val="28"/>
          <w:szCs w:val="28"/>
          <w:lang w:val="en-US"/>
        </w:rPr>
        <w:t xml:space="preserve"> </w:t>
      </w:r>
      <w:r w:rsidRPr="006B7E8B">
        <w:rPr>
          <w:rFonts w:ascii="Times New Roman" w:hAnsi="Times New Roman" w:cs="Times New Roman"/>
          <w:sz w:val="28"/>
          <w:szCs w:val="28"/>
        </w:rPr>
        <w:t>МГУ</w:t>
      </w:r>
      <w:r w:rsidRPr="006B7E8B">
        <w:rPr>
          <w:rFonts w:ascii="Times New Roman" w:hAnsi="Times New Roman" w:cs="Times New Roman"/>
          <w:sz w:val="28"/>
          <w:szCs w:val="28"/>
          <w:lang w:val="en-US"/>
        </w:rPr>
        <w:t xml:space="preserve">, </w:t>
      </w:r>
      <w:r w:rsidRPr="006B7E8B">
        <w:rPr>
          <w:rFonts w:ascii="Times New Roman" w:hAnsi="Times New Roman" w:cs="Times New Roman"/>
          <w:sz w:val="28"/>
          <w:szCs w:val="28"/>
        </w:rPr>
        <w:t>ЮНИТИ</w:t>
      </w:r>
      <w:r w:rsidRPr="006B7E8B">
        <w:rPr>
          <w:rFonts w:ascii="Times New Roman" w:hAnsi="Times New Roman" w:cs="Times New Roman"/>
          <w:sz w:val="28"/>
          <w:szCs w:val="28"/>
          <w:lang w:val="en-US"/>
        </w:rPr>
        <w:t>, 1997. – S. 799.</w:t>
      </w:r>
    </w:p>
    <w:p w:rsidR="00BE4617" w:rsidRPr="006B7E8B" w:rsidRDefault="00BE4617" w:rsidP="00BE4617">
      <w:pPr>
        <w:pStyle w:val="FootnoteText"/>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Леонтьев В. Экономическое эссе. Теории, исследования, факты и политика. М.: Политиздат, 1990, s. 102.</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Мамедов З.Ф. Анатомия финансового кризиса. СПбГУ, 2005. 320 с.</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Миотти Л. Финансовая либерализация, спекуляция и банковские кризисы // Банки: мировой опыт.–2002.-№ 4.</w:t>
      </w:r>
    </w:p>
    <w:p w:rsidR="00BE4617" w:rsidRPr="006B7E8B" w:rsidRDefault="00BE4617" w:rsidP="00BE4617">
      <w:pPr>
        <w:pStyle w:val="FootnoteText"/>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Рубцов Б.Б. Мировые рынки ценных бумаг. М. Экзамен 2002. - 448с.</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Самуэльсон П. Экономика. М., 1992, т. 1, s. 244.</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rPr>
        <w:t>Фахри Муршидли. “Банковское обслуживание внешнезкономической деятельности Азербайджана”. Bakı-2013</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Bossone B., Honohan P. and Long M. Policy for Small Financial Systems // Financial Sector Discussion Paper 6. World Bank, Financial Sector Strategy and Policy Department, Washington, D.C., 2001.</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en-US"/>
        </w:rPr>
        <w:t>Dierick F. Supervision of mixed financial service groups in Europe. Occasional paper series/ECB. – 2004. – №20, august. – S. 58</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en-US"/>
        </w:rPr>
      </w:pPr>
      <w:r w:rsidRPr="006B7E8B">
        <w:rPr>
          <w:rFonts w:ascii="Times New Roman" w:hAnsi="Times New Roman" w:cs="Times New Roman"/>
          <w:sz w:val="28"/>
          <w:szCs w:val="28"/>
          <w:lang w:val="en-US"/>
        </w:rPr>
        <w:t>Finance for Growth Policy Choices in a Volatile World. – Washington D.C.: The World Bank, Oxford University Press, 2001.</w:t>
      </w:r>
    </w:p>
    <w:p w:rsidR="00BE4617" w:rsidRPr="006B7E8B" w:rsidRDefault="00BE4617" w:rsidP="00BE4617">
      <w:pPr>
        <w:pStyle w:val="ListParagraph"/>
        <w:numPr>
          <w:ilvl w:val="0"/>
          <w:numId w:val="17"/>
        </w:numPr>
        <w:spacing w:line="360" w:lineRule="auto"/>
        <w:ind w:left="426"/>
        <w:jc w:val="both"/>
        <w:rPr>
          <w:rFonts w:ascii="Times New Roman" w:hAnsi="Times New Roman" w:cs="Times New Roman"/>
          <w:sz w:val="28"/>
          <w:szCs w:val="28"/>
          <w:lang w:val="az-Latn-AZ"/>
        </w:rPr>
      </w:pPr>
      <w:r w:rsidRPr="006B7E8B">
        <w:rPr>
          <w:rFonts w:ascii="Times New Roman" w:hAnsi="Times New Roman" w:cs="Times New Roman"/>
          <w:sz w:val="28"/>
          <w:szCs w:val="28"/>
          <w:lang w:val="az-Latn-AZ"/>
        </w:rPr>
        <w:t>Karacan Aİ, “Bankaçılıq ve Kriz” Finans Dünyası Yayımları 1996, s.s. 38-39.</w:t>
      </w:r>
    </w:p>
    <w:p w:rsidR="00BE4617" w:rsidRPr="006B7E8B" w:rsidRDefault="00BE4617" w:rsidP="00BE4617">
      <w:pPr>
        <w:autoSpaceDE w:val="0"/>
        <w:autoSpaceDN w:val="0"/>
        <w:adjustRightInd w:val="0"/>
        <w:spacing w:after="0" w:line="360" w:lineRule="auto"/>
        <w:rPr>
          <w:rFonts w:ascii="Times New Roman" w:hAnsi="Times New Roman" w:cs="Times New Roman"/>
          <w:b/>
          <w:sz w:val="28"/>
          <w:szCs w:val="28"/>
          <w:lang w:val="az-Latn-AZ"/>
        </w:rPr>
      </w:pPr>
    </w:p>
    <w:sectPr w:rsidR="00BE4617" w:rsidRPr="006B7E8B" w:rsidSect="004C586C">
      <w:footerReference w:type="firs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D3" w:rsidRDefault="004D7ED3" w:rsidP="00A82B13">
      <w:pPr>
        <w:spacing w:after="0" w:line="240" w:lineRule="auto"/>
      </w:pPr>
      <w:r>
        <w:separator/>
      </w:r>
    </w:p>
  </w:endnote>
  <w:endnote w:type="continuationSeparator" w:id="0">
    <w:p w:rsidR="004D7ED3" w:rsidRDefault="004D7ED3" w:rsidP="00A8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70948"/>
      <w:docPartObj>
        <w:docPartGallery w:val="Page Numbers (Bottom of Page)"/>
        <w:docPartUnique/>
      </w:docPartObj>
    </w:sdtPr>
    <w:sdtEndPr/>
    <w:sdtContent>
      <w:p w:rsidR="00351506" w:rsidRDefault="00351506">
        <w:pPr>
          <w:pStyle w:val="Footer"/>
          <w:jc w:val="right"/>
        </w:pPr>
        <w:r>
          <w:fldChar w:fldCharType="begin"/>
        </w:r>
        <w:r>
          <w:instrText>PAGE   \* MERGEFORMAT</w:instrText>
        </w:r>
        <w:r>
          <w:fldChar w:fldCharType="separate"/>
        </w:r>
        <w:r w:rsidR="000F0FA4">
          <w:rPr>
            <w:noProof/>
          </w:rPr>
          <w:t>19</w:t>
        </w:r>
        <w:r>
          <w:fldChar w:fldCharType="end"/>
        </w:r>
      </w:p>
    </w:sdtContent>
  </w:sdt>
  <w:p w:rsidR="00351506" w:rsidRDefault="0035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86C" w:rsidRPr="004C586C" w:rsidRDefault="004C586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D3" w:rsidRDefault="004D7ED3" w:rsidP="00A82B13">
      <w:pPr>
        <w:spacing w:after="0" w:line="240" w:lineRule="auto"/>
      </w:pPr>
      <w:r>
        <w:separator/>
      </w:r>
    </w:p>
  </w:footnote>
  <w:footnote w:type="continuationSeparator" w:id="0">
    <w:p w:rsidR="004D7ED3" w:rsidRDefault="004D7ED3" w:rsidP="00A82B13">
      <w:pPr>
        <w:spacing w:after="0" w:line="240" w:lineRule="auto"/>
      </w:pPr>
      <w:r>
        <w:continuationSeparator/>
      </w:r>
    </w:p>
  </w:footnote>
  <w:footnote w:id="1">
    <w:p w:rsidR="00351506" w:rsidRPr="00A82B13" w:rsidRDefault="00351506" w:rsidP="006E1097">
      <w:pPr>
        <w:pStyle w:val="FootnoteText"/>
        <w:rPr>
          <w:lang w:val="az-Latn-AZ"/>
        </w:rPr>
      </w:pPr>
      <w:r>
        <w:rPr>
          <w:rStyle w:val="FootnoteReference"/>
        </w:rPr>
        <w:footnoteRef/>
      </w:r>
      <w:r w:rsidRPr="00A82B13">
        <w:rPr>
          <w:lang w:val="en-US"/>
        </w:rPr>
        <w:t xml:space="preserve"> Z.F.Məmmədov. Pul , kredit və banklar. </w:t>
      </w:r>
      <w:r w:rsidRPr="00A82B13">
        <w:t>Bakı, 2009.</w:t>
      </w:r>
    </w:p>
  </w:footnote>
  <w:footnote w:id="2">
    <w:p w:rsidR="00351506" w:rsidRPr="002C2664" w:rsidRDefault="00351506" w:rsidP="006E1097">
      <w:pPr>
        <w:pStyle w:val="FootnoteText"/>
        <w:rPr>
          <w:lang w:val="az-Latn-AZ"/>
        </w:rPr>
      </w:pPr>
      <w:r>
        <w:rPr>
          <w:rStyle w:val="FootnoteReference"/>
        </w:rPr>
        <w:footnoteRef/>
      </w:r>
      <w:r w:rsidRPr="00047AA0">
        <w:rPr>
          <w:lang w:val="en-US"/>
        </w:rPr>
        <w:t xml:space="preserve"> </w:t>
      </w:r>
      <w:r w:rsidRPr="002C2664">
        <w:rPr>
          <w:lang w:val="en-US"/>
        </w:rPr>
        <w:t>Ibrahimov</w:t>
      </w:r>
      <w:r w:rsidRPr="00047AA0">
        <w:rPr>
          <w:lang w:val="en-US"/>
        </w:rPr>
        <w:t xml:space="preserve"> </w:t>
      </w:r>
      <w:r w:rsidRPr="002C2664">
        <w:rPr>
          <w:lang w:val="en-US"/>
        </w:rPr>
        <w:t>Z</w:t>
      </w:r>
      <w:r w:rsidRPr="00047AA0">
        <w:rPr>
          <w:lang w:val="en-US"/>
        </w:rPr>
        <w:t xml:space="preserve">. </w:t>
      </w:r>
      <w:r w:rsidRPr="002C2664">
        <w:rPr>
          <w:lang w:val="en-US"/>
        </w:rPr>
        <w:t>Pul</w:t>
      </w:r>
      <w:r w:rsidRPr="00047AA0">
        <w:rPr>
          <w:lang w:val="en-US"/>
        </w:rPr>
        <w:t xml:space="preserve">, </w:t>
      </w:r>
      <w:r w:rsidRPr="002C2664">
        <w:rPr>
          <w:lang w:val="en-US"/>
        </w:rPr>
        <w:t>kredit</w:t>
      </w:r>
      <w:r w:rsidRPr="00047AA0">
        <w:rPr>
          <w:lang w:val="en-US"/>
        </w:rPr>
        <w:t xml:space="preserve"> </w:t>
      </w:r>
      <w:r w:rsidRPr="002C2664">
        <w:rPr>
          <w:lang w:val="en-US"/>
        </w:rPr>
        <w:t>v</w:t>
      </w:r>
      <w:r w:rsidRPr="00047AA0">
        <w:rPr>
          <w:lang w:val="en-US"/>
        </w:rPr>
        <w:t xml:space="preserve">ə </w:t>
      </w:r>
      <w:r w:rsidRPr="002C2664">
        <w:rPr>
          <w:lang w:val="en-US"/>
        </w:rPr>
        <w:t>banklar</w:t>
      </w:r>
      <w:r w:rsidRPr="00047AA0">
        <w:rPr>
          <w:lang w:val="en-US"/>
        </w:rPr>
        <w:t xml:space="preserve"> (</w:t>
      </w:r>
      <w:r w:rsidRPr="002C2664">
        <w:rPr>
          <w:lang w:val="en-US"/>
        </w:rPr>
        <w:t>suallara</w:t>
      </w:r>
      <w:r w:rsidRPr="00047AA0">
        <w:rPr>
          <w:lang w:val="en-US"/>
        </w:rPr>
        <w:t xml:space="preserve"> </w:t>
      </w:r>
      <w:r w:rsidRPr="002C2664">
        <w:rPr>
          <w:lang w:val="en-US"/>
        </w:rPr>
        <w:t>cavab</w:t>
      </w:r>
      <w:r w:rsidRPr="00047AA0">
        <w:rPr>
          <w:lang w:val="en-US"/>
        </w:rPr>
        <w:t xml:space="preserve">). </w:t>
      </w:r>
      <w:r>
        <w:t>Bakı, 2009.</w:t>
      </w:r>
    </w:p>
  </w:footnote>
  <w:footnote w:id="3">
    <w:p w:rsidR="00351506" w:rsidRPr="002C2664" w:rsidRDefault="00351506" w:rsidP="006E1097">
      <w:pPr>
        <w:pStyle w:val="FootnoteText"/>
        <w:rPr>
          <w:lang w:val="az-Latn-AZ"/>
        </w:rPr>
      </w:pPr>
      <w:r>
        <w:rPr>
          <w:rStyle w:val="FootnoteReference"/>
        </w:rPr>
        <w:footnoteRef/>
      </w:r>
      <w:r>
        <w:t xml:space="preserve"> Банковский менеджмент. Издательство: КноРус, 2010 .</w:t>
      </w:r>
    </w:p>
  </w:footnote>
  <w:footnote w:id="4">
    <w:p w:rsidR="00351506" w:rsidRPr="00AB140E" w:rsidRDefault="00351506" w:rsidP="00DC7C4C">
      <w:pPr>
        <w:pStyle w:val="FootnoteText"/>
        <w:rPr>
          <w:lang w:val="az-Latn-AZ"/>
        </w:rPr>
      </w:pPr>
      <w:r>
        <w:rPr>
          <w:rStyle w:val="FootnoteReference"/>
        </w:rPr>
        <w:footnoteRef/>
      </w:r>
      <w:r w:rsidRPr="00AB140E">
        <w:rPr>
          <w:lang w:val="az-Latn-AZ"/>
        </w:rPr>
        <w:t xml:space="preserve"> V.Zeynalov . “Maliyyə böhranı:tarix, nəzəriyyə və antiböhran siyasət”. Bakı-2012, 176səh.</w:t>
      </w:r>
    </w:p>
  </w:footnote>
  <w:footnote w:id="5">
    <w:p w:rsidR="00351506" w:rsidRPr="00DC7C4C" w:rsidRDefault="00351506">
      <w:pPr>
        <w:pStyle w:val="FootnoteText"/>
        <w:rPr>
          <w:lang w:val="az-Latn-AZ"/>
        </w:rPr>
      </w:pPr>
      <w:r>
        <w:rPr>
          <w:rStyle w:val="FootnoteReference"/>
        </w:rPr>
        <w:footnoteRef/>
      </w:r>
      <w:r w:rsidRPr="00AB140E">
        <w:rPr>
          <w:lang w:val="az-Latn-AZ"/>
        </w:rPr>
        <w:t xml:space="preserve"> Q.İbadoğlu. “Qlobal maliyyə böhranının Azərbaycan iqtisadiyyatına təsirləri”. Məqalə. Bakı-2009</w:t>
      </w:r>
    </w:p>
  </w:footnote>
  <w:footnote w:id="6">
    <w:p w:rsidR="00351506" w:rsidRPr="00DC7C4C" w:rsidRDefault="00351506" w:rsidP="00DC7C4C">
      <w:pPr>
        <w:pStyle w:val="FootnoteText"/>
        <w:rPr>
          <w:lang w:val="az-Latn-AZ"/>
        </w:rPr>
      </w:pPr>
      <w:r>
        <w:rPr>
          <w:rStyle w:val="FootnoteReference"/>
        </w:rPr>
        <w:footnoteRef/>
      </w:r>
      <w:r w:rsidRPr="00DC7C4C">
        <w:rPr>
          <w:lang w:val="az-Latn-AZ"/>
        </w:rPr>
        <w:t xml:space="preserve"> .F.F.Mustafayev. “Keçid iqtisadiyyatında dövlət tənzimlənməsinin  makroiqtisadi aspektləri”. “Elm”. Bakı-2008</w:t>
      </w:r>
    </w:p>
    <w:p w:rsidR="00351506" w:rsidRPr="00DC7C4C" w:rsidRDefault="00351506">
      <w:pPr>
        <w:pStyle w:val="FootnoteText"/>
        <w:rPr>
          <w:lang w:val="az-Latn-AZ"/>
        </w:rPr>
      </w:pPr>
    </w:p>
  </w:footnote>
  <w:footnote w:id="7">
    <w:p w:rsidR="00351506" w:rsidRPr="00DC7C4C" w:rsidRDefault="00351506">
      <w:pPr>
        <w:pStyle w:val="FootnoteText"/>
        <w:rPr>
          <w:lang w:val="az-Latn-AZ"/>
        </w:rPr>
      </w:pPr>
      <w:r>
        <w:rPr>
          <w:rStyle w:val="FootnoteReference"/>
        </w:rPr>
        <w:footnoteRef/>
      </w:r>
      <w:r w:rsidRPr="005829D5">
        <w:rPr>
          <w:lang w:val="az-Latn-AZ"/>
        </w:rPr>
        <w:t xml:space="preserve"> İ.İsayev. “Manatın devalvasiyası məqsədəuyğun addımdır”. Məqalə. Bakı-2015</w:t>
      </w:r>
    </w:p>
  </w:footnote>
  <w:footnote w:id="8">
    <w:p w:rsidR="00351506" w:rsidRPr="00DC7C4C" w:rsidRDefault="00351506">
      <w:pPr>
        <w:pStyle w:val="FootnoteText"/>
        <w:rPr>
          <w:lang w:val="az-Latn-AZ"/>
        </w:rPr>
      </w:pPr>
      <w:r>
        <w:rPr>
          <w:rStyle w:val="FootnoteReference"/>
        </w:rPr>
        <w:footnoteRef/>
      </w:r>
      <w:r w:rsidRPr="005829D5">
        <w:rPr>
          <w:lang w:val="az-Latn-AZ"/>
        </w:rPr>
        <w:t xml:space="preserve"> Фахри Муршидли. </w:t>
      </w:r>
      <w:r w:rsidRPr="00DC7C4C">
        <w:t>“Банковское обслуживание внешнезкономической деятельности Азербайджана”. Bakı-2013</w:t>
      </w:r>
    </w:p>
  </w:footnote>
  <w:footnote w:id="9">
    <w:p w:rsidR="00351506" w:rsidRPr="005829D5" w:rsidRDefault="00351506">
      <w:pPr>
        <w:pStyle w:val="FootnoteText"/>
      </w:pPr>
      <w:r>
        <w:rPr>
          <w:rStyle w:val="FootnoteReference"/>
        </w:rPr>
        <w:footnoteRef/>
      </w:r>
      <w:r w:rsidRPr="005829D5">
        <w:t xml:space="preserve"> </w:t>
      </w:r>
      <w:r w:rsidRPr="00DC7C4C">
        <w:rPr>
          <w:lang w:val="en-US"/>
        </w:rPr>
        <w:t>E</w:t>
      </w:r>
      <w:r w:rsidRPr="005829D5">
        <w:t>.</w:t>
      </w:r>
      <w:r w:rsidRPr="00DC7C4C">
        <w:rPr>
          <w:lang w:val="en-US"/>
        </w:rPr>
        <w:t>Sad</w:t>
      </w:r>
      <w:r w:rsidRPr="005829D5">
        <w:t>ı</w:t>
      </w:r>
      <w:r w:rsidRPr="00DC7C4C">
        <w:rPr>
          <w:lang w:val="en-US"/>
        </w:rPr>
        <w:t>qov</w:t>
      </w:r>
      <w:r w:rsidRPr="005829D5">
        <w:t>. “</w:t>
      </w:r>
      <w:r w:rsidRPr="00DC7C4C">
        <w:rPr>
          <w:lang w:val="en-US"/>
        </w:rPr>
        <w:t>Bank</w:t>
      </w:r>
      <w:r w:rsidRPr="005829D5">
        <w:t xml:space="preserve"> ə</w:t>
      </w:r>
      <w:r w:rsidRPr="00DC7C4C">
        <w:rPr>
          <w:lang w:val="en-US"/>
        </w:rPr>
        <w:t>m</w:t>
      </w:r>
      <w:r w:rsidRPr="005829D5">
        <w:t>ə</w:t>
      </w:r>
      <w:r w:rsidRPr="00DC7C4C">
        <w:rPr>
          <w:lang w:val="en-US"/>
        </w:rPr>
        <w:t>liyyatlar</w:t>
      </w:r>
      <w:r w:rsidRPr="005829D5">
        <w:t xml:space="preserve">ı”. </w:t>
      </w:r>
      <w:r w:rsidRPr="00DC7C4C">
        <w:rPr>
          <w:lang w:val="en-US"/>
        </w:rPr>
        <w:t>Bak</w:t>
      </w:r>
      <w:r w:rsidRPr="005829D5">
        <w:t>ı-2010</w:t>
      </w:r>
    </w:p>
  </w:footnote>
  <w:footnote w:id="10">
    <w:p w:rsidR="00351506" w:rsidRPr="00C40B77" w:rsidRDefault="00351506">
      <w:pPr>
        <w:pStyle w:val="FootnoteText"/>
      </w:pPr>
      <w:r>
        <w:rPr>
          <w:rStyle w:val="FootnoteReference"/>
        </w:rPr>
        <w:footnoteRef/>
      </w:r>
      <w:r w:rsidRPr="005829D5">
        <w:t xml:space="preserve"> </w:t>
      </w:r>
      <w:r w:rsidRPr="00DC7C4C">
        <w:rPr>
          <w:lang w:val="en-US"/>
        </w:rPr>
        <w:t>Stiqlitsin</w:t>
      </w:r>
      <w:r w:rsidRPr="005829D5">
        <w:t xml:space="preserve"> </w:t>
      </w:r>
      <w:r w:rsidRPr="00DC7C4C">
        <w:rPr>
          <w:lang w:val="en-US"/>
        </w:rPr>
        <w:t>m</w:t>
      </w:r>
      <w:r w:rsidRPr="005829D5">
        <w:t>ə</w:t>
      </w:r>
      <w:r w:rsidRPr="00DC7C4C">
        <w:rPr>
          <w:lang w:val="en-US"/>
        </w:rPr>
        <w:t>ruz</w:t>
      </w:r>
      <w:r w:rsidRPr="005829D5">
        <w:t>ə</w:t>
      </w:r>
      <w:r w:rsidRPr="00DC7C4C">
        <w:rPr>
          <w:lang w:val="en-US"/>
        </w:rPr>
        <w:t>si</w:t>
      </w:r>
      <w:r w:rsidRPr="005829D5">
        <w:t>. “</w:t>
      </w:r>
      <w:r w:rsidRPr="00DC7C4C">
        <w:rPr>
          <w:lang w:val="en-US"/>
        </w:rPr>
        <w:t>Beyn</w:t>
      </w:r>
      <w:r w:rsidRPr="005829D5">
        <w:t>ə</w:t>
      </w:r>
      <w:r w:rsidRPr="00DC7C4C">
        <w:rPr>
          <w:lang w:val="en-US"/>
        </w:rPr>
        <w:t>lxalq</w:t>
      </w:r>
      <w:r w:rsidRPr="005829D5">
        <w:t xml:space="preserve"> </w:t>
      </w:r>
      <w:r w:rsidRPr="00DC7C4C">
        <w:rPr>
          <w:lang w:val="en-US"/>
        </w:rPr>
        <w:t>valyuta</w:t>
      </w:r>
      <w:r w:rsidRPr="005829D5">
        <w:t>-</w:t>
      </w:r>
      <w:r w:rsidRPr="00DC7C4C">
        <w:rPr>
          <w:lang w:val="en-US"/>
        </w:rPr>
        <w:t>maliyy</w:t>
      </w:r>
      <w:r w:rsidRPr="005829D5">
        <w:t xml:space="preserve">ə </w:t>
      </w:r>
      <w:r w:rsidRPr="00DC7C4C">
        <w:rPr>
          <w:lang w:val="en-US"/>
        </w:rPr>
        <w:t>sistemind</w:t>
      </w:r>
      <w:r w:rsidRPr="005829D5">
        <w:t xml:space="preserve">ə </w:t>
      </w:r>
      <w:r w:rsidRPr="00DC7C4C">
        <w:rPr>
          <w:lang w:val="en-US"/>
        </w:rPr>
        <w:t>islahatlar</w:t>
      </w:r>
      <w:r w:rsidRPr="005829D5">
        <w:t>:</w:t>
      </w:r>
      <w:r w:rsidRPr="00DC7C4C">
        <w:rPr>
          <w:lang w:val="en-US"/>
        </w:rPr>
        <w:t>qlobal</w:t>
      </w:r>
      <w:r w:rsidRPr="005829D5">
        <w:t xml:space="preserve"> </w:t>
      </w:r>
      <w:r w:rsidRPr="00DC7C4C">
        <w:rPr>
          <w:lang w:val="en-US"/>
        </w:rPr>
        <w:t>b</w:t>
      </w:r>
      <w:r w:rsidRPr="005829D5">
        <w:t>ö</w:t>
      </w:r>
      <w:r w:rsidRPr="00DC7C4C">
        <w:rPr>
          <w:lang w:val="en-US"/>
        </w:rPr>
        <w:t>hran</w:t>
      </w:r>
      <w:r w:rsidRPr="005829D5">
        <w:t>ı</w:t>
      </w:r>
      <w:r w:rsidRPr="00DC7C4C">
        <w:rPr>
          <w:lang w:val="en-US"/>
        </w:rPr>
        <w:t>n</w:t>
      </w:r>
      <w:r w:rsidRPr="005829D5">
        <w:t xml:space="preserve"> </w:t>
      </w:r>
      <w:r w:rsidRPr="00DC7C4C">
        <w:rPr>
          <w:lang w:val="en-US"/>
        </w:rPr>
        <w:t>n</w:t>
      </w:r>
      <w:r w:rsidRPr="005829D5">
        <w:t>ə</w:t>
      </w:r>
      <w:r w:rsidRPr="00DC7C4C">
        <w:rPr>
          <w:lang w:val="en-US"/>
        </w:rPr>
        <w:t>tic</w:t>
      </w:r>
      <w:r w:rsidRPr="005829D5">
        <w:t>ə</w:t>
      </w:r>
      <w:r w:rsidRPr="00DC7C4C">
        <w:rPr>
          <w:lang w:val="en-US"/>
        </w:rPr>
        <w:t>l</w:t>
      </w:r>
      <w:r w:rsidRPr="005829D5">
        <w:t>ə</w:t>
      </w:r>
      <w:r w:rsidRPr="00DC7C4C">
        <w:rPr>
          <w:lang w:val="en-US"/>
        </w:rPr>
        <w:t>ri</w:t>
      </w:r>
      <w:r w:rsidRPr="005829D5">
        <w:t xml:space="preserve">” </w:t>
      </w:r>
      <w:r w:rsidRPr="00DC7C4C">
        <w:rPr>
          <w:lang w:val="en-US"/>
        </w:rPr>
        <w:t>bar</w:t>
      </w:r>
      <w:r w:rsidRPr="005829D5">
        <w:t>ə</w:t>
      </w:r>
      <w:r w:rsidRPr="00DC7C4C">
        <w:rPr>
          <w:lang w:val="en-US"/>
        </w:rPr>
        <w:t>d</w:t>
      </w:r>
      <w:r w:rsidRPr="005829D5">
        <w:t xml:space="preserve">ə. </w:t>
      </w:r>
      <w:r w:rsidRPr="00C40B77">
        <w:t>“İ</w:t>
      </w:r>
      <w:r w:rsidRPr="006E1097">
        <w:rPr>
          <w:lang w:val="en-US"/>
        </w:rPr>
        <w:t>qtisad</w:t>
      </w:r>
      <w:r w:rsidRPr="00C40B77">
        <w:t xml:space="preserve"> </w:t>
      </w:r>
      <w:r w:rsidRPr="006E1097">
        <w:rPr>
          <w:lang w:val="en-US"/>
        </w:rPr>
        <w:t>Universiteti</w:t>
      </w:r>
      <w:r w:rsidRPr="00C40B77">
        <w:t xml:space="preserve">” </w:t>
      </w:r>
      <w:r w:rsidRPr="006E1097">
        <w:rPr>
          <w:lang w:val="en-US"/>
        </w:rPr>
        <w:t>N</w:t>
      </w:r>
      <w:r w:rsidRPr="00C40B77">
        <w:t>əş</w:t>
      </w:r>
      <w:r w:rsidRPr="006E1097">
        <w:rPr>
          <w:lang w:val="en-US"/>
        </w:rPr>
        <w:t>riyyat</w:t>
      </w:r>
      <w:r w:rsidRPr="00C40B77">
        <w:t xml:space="preserve">ı. </w:t>
      </w:r>
      <w:r w:rsidRPr="006E1097">
        <w:rPr>
          <w:lang w:val="en-US"/>
        </w:rPr>
        <w:t>Bak</w:t>
      </w:r>
      <w:r w:rsidRPr="00C40B77">
        <w:t>ı-2012</w:t>
      </w:r>
    </w:p>
  </w:footnote>
  <w:footnote w:id="11">
    <w:p w:rsidR="00351506" w:rsidRPr="00C40B77" w:rsidRDefault="00351506" w:rsidP="006E1097">
      <w:pPr>
        <w:pStyle w:val="FootnoteText"/>
      </w:pPr>
      <w:r>
        <w:rPr>
          <w:rStyle w:val="FootnoteReference"/>
        </w:rPr>
        <w:footnoteRef/>
      </w:r>
      <w:r w:rsidRPr="00C40B77">
        <w:t xml:space="preserve"> .</w:t>
      </w:r>
      <w:r w:rsidRPr="00DC7C4C">
        <w:rPr>
          <w:lang w:val="en-US"/>
        </w:rPr>
        <w:t>M</w:t>
      </w:r>
      <w:r w:rsidRPr="00C40B77">
        <w:t>ə</w:t>
      </w:r>
      <w:r w:rsidRPr="00DC7C4C">
        <w:rPr>
          <w:lang w:val="en-US"/>
        </w:rPr>
        <w:t>simli</w:t>
      </w:r>
      <w:r w:rsidRPr="00C40B77">
        <w:t>. “</w:t>
      </w:r>
      <w:r w:rsidRPr="00DC7C4C">
        <w:rPr>
          <w:lang w:val="en-US"/>
        </w:rPr>
        <w:t>D</w:t>
      </w:r>
      <w:r w:rsidRPr="00C40B77">
        <w:t>ü</w:t>
      </w:r>
      <w:r w:rsidRPr="00DC7C4C">
        <w:rPr>
          <w:lang w:val="en-US"/>
        </w:rPr>
        <w:t>nya</w:t>
      </w:r>
      <w:r w:rsidRPr="00C40B77">
        <w:t xml:space="preserve"> </w:t>
      </w:r>
      <w:r w:rsidRPr="00DC7C4C">
        <w:rPr>
          <w:lang w:val="en-US"/>
        </w:rPr>
        <w:t>maliyy</w:t>
      </w:r>
      <w:r w:rsidRPr="00C40B77">
        <w:t xml:space="preserve">ə </w:t>
      </w:r>
      <w:r w:rsidRPr="00DC7C4C">
        <w:rPr>
          <w:lang w:val="en-US"/>
        </w:rPr>
        <w:t>b</w:t>
      </w:r>
      <w:r w:rsidRPr="00C40B77">
        <w:t>ö</w:t>
      </w:r>
      <w:r w:rsidRPr="00DC7C4C">
        <w:rPr>
          <w:lang w:val="en-US"/>
        </w:rPr>
        <w:t>hran</w:t>
      </w:r>
      <w:r w:rsidRPr="00C40B77">
        <w:t xml:space="preserve">ı </w:t>
      </w:r>
      <w:r w:rsidRPr="00DC7C4C">
        <w:rPr>
          <w:lang w:val="en-US"/>
        </w:rPr>
        <w:t>v</w:t>
      </w:r>
      <w:r w:rsidRPr="00C40B77">
        <w:t xml:space="preserve">ə </w:t>
      </w:r>
      <w:r w:rsidRPr="00DC7C4C">
        <w:rPr>
          <w:lang w:val="en-US"/>
        </w:rPr>
        <w:t>Az</w:t>
      </w:r>
      <w:r w:rsidRPr="00C40B77">
        <w:t>ə</w:t>
      </w:r>
      <w:r w:rsidRPr="00DC7C4C">
        <w:rPr>
          <w:lang w:val="en-US"/>
        </w:rPr>
        <w:t>rbaycan</w:t>
      </w:r>
      <w:r w:rsidRPr="00C40B77">
        <w:t xml:space="preserve">”. </w:t>
      </w:r>
      <w:r w:rsidRPr="00DC7C4C">
        <w:rPr>
          <w:lang w:val="en-US"/>
        </w:rPr>
        <w:t>M</w:t>
      </w:r>
      <w:r w:rsidRPr="00C40B77">
        <w:t>ə</w:t>
      </w:r>
      <w:r w:rsidRPr="00DC7C4C">
        <w:rPr>
          <w:lang w:val="en-US"/>
        </w:rPr>
        <w:t>qal</w:t>
      </w:r>
      <w:r w:rsidRPr="00C40B77">
        <w:t xml:space="preserve">ə. </w:t>
      </w:r>
      <w:r w:rsidRPr="00DC7C4C">
        <w:rPr>
          <w:lang w:val="en-US"/>
        </w:rPr>
        <w:t>Bak</w:t>
      </w:r>
      <w:r w:rsidRPr="00C40B77">
        <w:t>ı-2009</w:t>
      </w:r>
    </w:p>
  </w:footnote>
  <w:footnote w:id="12">
    <w:p w:rsidR="00351506" w:rsidRPr="00DC7C4C" w:rsidRDefault="00351506" w:rsidP="006E1097">
      <w:pPr>
        <w:pStyle w:val="FootnoteText"/>
        <w:rPr>
          <w:lang w:val="az-Latn-AZ"/>
        </w:rPr>
      </w:pPr>
      <w:r>
        <w:rPr>
          <w:rStyle w:val="FootnoteReference"/>
        </w:rPr>
        <w:footnoteRef/>
      </w:r>
      <w:r w:rsidRPr="00446D9D">
        <w:t xml:space="preserve"> </w:t>
      </w:r>
      <w:r w:rsidRPr="00DC7C4C">
        <w:rPr>
          <w:lang w:val="en-US"/>
        </w:rPr>
        <w:t>V</w:t>
      </w:r>
      <w:r w:rsidRPr="00446D9D">
        <w:t>.</w:t>
      </w:r>
      <w:r w:rsidRPr="00DC7C4C">
        <w:rPr>
          <w:lang w:val="en-US"/>
        </w:rPr>
        <w:t>R</w:t>
      </w:r>
      <w:r w:rsidRPr="00446D9D">
        <w:t>ü</w:t>
      </w:r>
      <w:r w:rsidRPr="00DC7C4C">
        <w:rPr>
          <w:lang w:val="en-US"/>
        </w:rPr>
        <w:t>st</w:t>
      </w:r>
      <w:r w:rsidRPr="00446D9D">
        <w:t>ə</w:t>
      </w:r>
      <w:r w:rsidRPr="00DC7C4C">
        <w:rPr>
          <w:lang w:val="en-US"/>
        </w:rPr>
        <w:t>mova</w:t>
      </w:r>
      <w:r w:rsidRPr="00446D9D">
        <w:t xml:space="preserve">, </w:t>
      </w:r>
      <w:r w:rsidRPr="00DC7C4C">
        <w:rPr>
          <w:lang w:val="en-US"/>
        </w:rPr>
        <w:t>R</w:t>
      </w:r>
      <w:r w:rsidRPr="00446D9D">
        <w:t>.</w:t>
      </w:r>
      <w:r w:rsidRPr="00DC7C4C">
        <w:rPr>
          <w:lang w:val="en-US"/>
        </w:rPr>
        <w:t>Vaqifo</w:t>
      </w:r>
      <w:r w:rsidRPr="00446D9D">
        <w:t>ğ</w:t>
      </w:r>
      <w:r w:rsidRPr="00DC7C4C">
        <w:rPr>
          <w:lang w:val="en-US"/>
        </w:rPr>
        <w:t>lu</w:t>
      </w:r>
      <w:r w:rsidRPr="00446D9D">
        <w:t>. “</w:t>
      </w:r>
      <w:r w:rsidRPr="00DC7C4C">
        <w:rPr>
          <w:lang w:val="en-US"/>
        </w:rPr>
        <w:t>Manat</w:t>
      </w:r>
      <w:r w:rsidRPr="00446D9D">
        <w:t>ı</w:t>
      </w:r>
      <w:r w:rsidRPr="00DC7C4C">
        <w:rPr>
          <w:lang w:val="en-US"/>
        </w:rPr>
        <w:t>n</w:t>
      </w:r>
      <w:r w:rsidRPr="00446D9D">
        <w:t xml:space="preserve"> </w:t>
      </w:r>
      <w:r w:rsidRPr="00DC7C4C">
        <w:rPr>
          <w:lang w:val="en-US"/>
        </w:rPr>
        <w:t>devalvasiyas</w:t>
      </w:r>
      <w:r w:rsidRPr="00446D9D">
        <w:t xml:space="preserve">ı </w:t>
      </w:r>
      <w:r w:rsidRPr="00DC7C4C">
        <w:rPr>
          <w:lang w:val="en-US"/>
        </w:rPr>
        <w:t>qa</w:t>
      </w:r>
      <w:r w:rsidRPr="00446D9D">
        <w:t>çı</w:t>
      </w:r>
      <w:r w:rsidRPr="00DC7C4C">
        <w:rPr>
          <w:lang w:val="en-US"/>
        </w:rPr>
        <w:t>lmazd</w:t>
      </w:r>
      <w:r w:rsidRPr="00446D9D">
        <w:t>ı</w:t>
      </w:r>
      <w:r w:rsidRPr="00DC7C4C">
        <w:rPr>
          <w:lang w:val="en-US"/>
        </w:rPr>
        <w:t>r</w:t>
      </w:r>
      <w:r w:rsidRPr="00446D9D">
        <w:t xml:space="preserve">”. </w:t>
      </w:r>
      <w:r w:rsidRPr="00DC7C4C">
        <w:rPr>
          <w:lang w:val="en-US"/>
        </w:rPr>
        <w:t>M</w:t>
      </w:r>
      <w:r w:rsidRPr="00446D9D">
        <w:t>ə</w:t>
      </w:r>
      <w:r w:rsidRPr="00DC7C4C">
        <w:rPr>
          <w:lang w:val="en-US"/>
        </w:rPr>
        <w:t>qal</w:t>
      </w:r>
      <w:r w:rsidRPr="00446D9D">
        <w:t xml:space="preserve">ə. </w:t>
      </w:r>
      <w:r w:rsidRPr="00DC7C4C">
        <w:rPr>
          <w:lang w:val="en-US"/>
        </w:rPr>
        <w:t>Bak</w:t>
      </w:r>
      <w:r w:rsidRPr="00446D9D">
        <w:t>ı-2015</w:t>
      </w:r>
    </w:p>
  </w:footnote>
  <w:footnote w:id="13">
    <w:p w:rsidR="00351506" w:rsidRPr="007F7AC2" w:rsidRDefault="00351506" w:rsidP="007F7AC2">
      <w:pPr>
        <w:pStyle w:val="FootnoteText"/>
        <w:rPr>
          <w:lang w:val="az-Latn-AZ"/>
        </w:rPr>
      </w:pPr>
      <w:r>
        <w:rPr>
          <w:rStyle w:val="FootnoteReference"/>
        </w:rPr>
        <w:footnoteRef/>
      </w:r>
      <w:r w:rsidRPr="007F7AC2">
        <w:rPr>
          <w:lang w:val="az-Latn-AZ"/>
        </w:rPr>
        <w:t xml:space="preserve"> G.Kərimli. “Qlobal maliyyə böhranının ikinci dalğası qaçılmazdır”. “Ülfət qəzeti”. Bakı-2010</w:t>
      </w:r>
    </w:p>
  </w:footnote>
  <w:footnote w:id="14">
    <w:p w:rsidR="00351506" w:rsidRPr="007F7AC2" w:rsidRDefault="00351506" w:rsidP="007F7AC2">
      <w:pPr>
        <w:pStyle w:val="FootnoteText"/>
        <w:rPr>
          <w:lang w:val="az-Latn-AZ"/>
        </w:rPr>
      </w:pPr>
      <w:r>
        <w:rPr>
          <w:rStyle w:val="FootnoteReference"/>
        </w:rPr>
        <w:footnoteRef/>
      </w:r>
      <w:r w:rsidRPr="007F7AC2">
        <w:rPr>
          <w:lang w:val="az-Latn-AZ"/>
        </w:rPr>
        <w:t xml:space="preserve"> V.K.Lomakin. “Dünya iqtisadiyyatı”. Dərslik. (Rus dilindən tərcümə). “İqtisad Universiteti Nəşriyyatı”. Bakı-2013</w:t>
      </w:r>
    </w:p>
  </w:footnote>
  <w:footnote w:id="15">
    <w:p w:rsidR="00351506" w:rsidRPr="007F7AC2" w:rsidRDefault="00351506">
      <w:pPr>
        <w:pStyle w:val="FootnoteText"/>
        <w:rPr>
          <w:lang w:val="az-Latn-AZ"/>
        </w:rPr>
      </w:pPr>
      <w:r>
        <w:rPr>
          <w:rStyle w:val="FootnoteReference"/>
        </w:rPr>
        <w:footnoteRef/>
      </w:r>
      <w:r w:rsidRPr="00AB140E">
        <w:rPr>
          <w:lang w:val="az-Latn-AZ"/>
        </w:rPr>
        <w:t xml:space="preserve"> “Dünya İqtisadiyyatının İnkişaf Paradiqması:Bazar və Sonrası” mövzusunda Məruzələr Kitabı. </w:t>
      </w:r>
      <w:r w:rsidRPr="007F7AC2">
        <w:rPr>
          <w:lang w:val="az-Latn-AZ"/>
        </w:rPr>
        <w:t>Bakı-2013</w:t>
      </w:r>
    </w:p>
  </w:footnote>
  <w:footnote w:id="16">
    <w:p w:rsidR="00351506" w:rsidRPr="005829D5" w:rsidRDefault="00351506">
      <w:pPr>
        <w:pStyle w:val="FootnoteText"/>
        <w:rPr>
          <w:lang w:val="az-Latn-AZ"/>
        </w:rPr>
      </w:pPr>
      <w:r>
        <w:rPr>
          <w:rStyle w:val="FootnoteReference"/>
        </w:rPr>
        <w:footnoteRef/>
      </w:r>
      <w:r w:rsidRPr="00C7284D">
        <w:rPr>
          <w:lang w:val="az-Latn-AZ"/>
        </w:rPr>
        <w:t xml:space="preserve"> E.Əliyev. “Milli iqtisadiyyatın lokomotivi olan bank sektoru qlobal böhranı əzmlə dəf edir:Respublikamızın uğurla həyata keçirdiyi antiböhran tədbirləri bank sektorunun hər hansı problemlə üzləşməsini birmənali istisna edir”.[ </w:t>
      </w:r>
      <w:r w:rsidRPr="005829D5">
        <w:rPr>
          <w:lang w:val="az-Latn-AZ"/>
        </w:rPr>
        <w:t>Mətn] //Azərbaycan-2009-13 mart-5səh.</w:t>
      </w:r>
    </w:p>
  </w:footnote>
  <w:footnote w:id="17">
    <w:p w:rsidR="00351506" w:rsidRPr="005829D5" w:rsidRDefault="00351506">
      <w:pPr>
        <w:pStyle w:val="FootnoteText"/>
        <w:rPr>
          <w:lang w:val="az-Latn-AZ"/>
        </w:rPr>
      </w:pPr>
      <w:r>
        <w:rPr>
          <w:rStyle w:val="FootnoteReference"/>
        </w:rPr>
        <w:footnoteRef/>
      </w:r>
      <w:r w:rsidRPr="005829D5">
        <w:rPr>
          <w:lang w:val="az-Latn-AZ"/>
        </w:rPr>
        <w:t xml:space="preserve"> E.Hacalıyev. “Qlobal maliyyə-iqtisadi böhran şəraitində Azərbaycanda makroiqtisadi sabitlik təmin edilib”.[Mətn]//Azərbaycan-2016-22 sentyabr-7səh.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24E"/>
    <w:multiLevelType w:val="hybridMultilevel"/>
    <w:tmpl w:val="96049920"/>
    <w:lvl w:ilvl="0" w:tplc="2DA6AFE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34FF3"/>
    <w:multiLevelType w:val="hybridMultilevel"/>
    <w:tmpl w:val="1F52E626"/>
    <w:lvl w:ilvl="0" w:tplc="991081B8">
      <w:start w:val="1"/>
      <w:numFmt w:val="bullet"/>
      <w:lvlText w:val=""/>
      <w:lvlJc w:val="left"/>
      <w:pPr>
        <w:ind w:left="720" w:hanging="360"/>
      </w:pPr>
      <w:rPr>
        <w:rFonts w:ascii="Symbol" w:hAnsi="Symbol" w:hint="default"/>
      </w:rPr>
    </w:lvl>
    <w:lvl w:ilvl="1" w:tplc="06E4B9D8">
      <w:numFmt w:val="bullet"/>
      <w:lvlText w:val="-"/>
      <w:lvlJc w:val="left"/>
      <w:pPr>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D6143"/>
    <w:multiLevelType w:val="multilevel"/>
    <w:tmpl w:val="346C98D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1CC4868"/>
    <w:multiLevelType w:val="hybridMultilevel"/>
    <w:tmpl w:val="28D4D104"/>
    <w:lvl w:ilvl="0" w:tplc="43A6BD5C">
      <w:numFmt w:val="bullet"/>
      <w:lvlText w:val="-"/>
      <w:lvlJc w:val="left"/>
      <w:pPr>
        <w:ind w:left="435" w:hanging="360"/>
      </w:pPr>
      <w:rPr>
        <w:rFonts w:ascii="Times New Roman" w:eastAsia="MS Mincho"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28A5088C"/>
    <w:multiLevelType w:val="multilevel"/>
    <w:tmpl w:val="0B8E9C3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9765B51"/>
    <w:multiLevelType w:val="hybridMultilevel"/>
    <w:tmpl w:val="D9784D2C"/>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F311BEE"/>
    <w:multiLevelType w:val="hybridMultilevel"/>
    <w:tmpl w:val="155859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A5354"/>
    <w:multiLevelType w:val="hybridMultilevel"/>
    <w:tmpl w:val="20A6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C2736"/>
    <w:multiLevelType w:val="hybridMultilevel"/>
    <w:tmpl w:val="11D2F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E62B9E"/>
    <w:multiLevelType w:val="multilevel"/>
    <w:tmpl w:val="0B8E9C3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448608B"/>
    <w:multiLevelType w:val="multilevel"/>
    <w:tmpl w:val="B48E6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5E23AA"/>
    <w:multiLevelType w:val="hybridMultilevel"/>
    <w:tmpl w:val="D30ABC6C"/>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5A82EF0"/>
    <w:multiLevelType w:val="hybridMultilevel"/>
    <w:tmpl w:val="B462BE7E"/>
    <w:lvl w:ilvl="0" w:tplc="8E724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714C39"/>
    <w:multiLevelType w:val="hybridMultilevel"/>
    <w:tmpl w:val="7EB67AB2"/>
    <w:lvl w:ilvl="0" w:tplc="CD8E4794">
      <w:start w:val="201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571C28"/>
    <w:multiLevelType w:val="multilevel"/>
    <w:tmpl w:val="D15A26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2B3F23"/>
    <w:multiLevelType w:val="hybridMultilevel"/>
    <w:tmpl w:val="EB8E25D6"/>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C0089"/>
    <w:multiLevelType w:val="multilevel"/>
    <w:tmpl w:val="B48E61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FB3053"/>
    <w:multiLevelType w:val="hybridMultilevel"/>
    <w:tmpl w:val="5434D91A"/>
    <w:lvl w:ilvl="0" w:tplc="991081B8">
      <w:start w:val="1"/>
      <w:numFmt w:val="bullet"/>
      <w:lvlText w:val=""/>
      <w:lvlJc w:val="left"/>
      <w:pPr>
        <w:ind w:left="720" w:hanging="360"/>
      </w:pPr>
      <w:rPr>
        <w:rFonts w:ascii="Symbol" w:hAnsi="Symbol" w:hint="default"/>
      </w:rPr>
    </w:lvl>
    <w:lvl w:ilvl="1" w:tplc="991081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3B6861"/>
    <w:multiLevelType w:val="hybridMultilevel"/>
    <w:tmpl w:val="E95AB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21E86"/>
    <w:multiLevelType w:val="multilevel"/>
    <w:tmpl w:val="D15A26D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1EB720B"/>
    <w:multiLevelType w:val="hybridMultilevel"/>
    <w:tmpl w:val="B672A4BE"/>
    <w:lvl w:ilvl="0" w:tplc="991081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85894"/>
    <w:multiLevelType w:val="hybridMultilevel"/>
    <w:tmpl w:val="F6F0D768"/>
    <w:lvl w:ilvl="0" w:tplc="6472D29E">
      <w:start w:val="2010"/>
      <w:numFmt w:val="decimal"/>
      <w:lvlText w:val="%1"/>
      <w:lvlJc w:val="left"/>
      <w:pPr>
        <w:ind w:left="1308" w:hanging="60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850EB7"/>
    <w:multiLevelType w:val="hybridMultilevel"/>
    <w:tmpl w:val="184A2AB0"/>
    <w:lvl w:ilvl="0" w:tplc="82268072">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6E011BA"/>
    <w:multiLevelType w:val="hybridMultilevel"/>
    <w:tmpl w:val="18746F12"/>
    <w:lvl w:ilvl="0" w:tplc="668EF6F0">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493EC7"/>
    <w:multiLevelType w:val="multilevel"/>
    <w:tmpl w:val="5464D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DC771F"/>
    <w:multiLevelType w:val="multilevel"/>
    <w:tmpl w:val="346C98D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35D272E"/>
    <w:multiLevelType w:val="hybridMultilevel"/>
    <w:tmpl w:val="B6A0B10C"/>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D45CE8"/>
    <w:multiLevelType w:val="hybridMultilevel"/>
    <w:tmpl w:val="6512EC18"/>
    <w:lvl w:ilvl="0" w:tplc="28F6D81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657D4182"/>
    <w:multiLevelType w:val="multilevel"/>
    <w:tmpl w:val="D04EE52C"/>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7FF7C35"/>
    <w:multiLevelType w:val="hybridMultilevel"/>
    <w:tmpl w:val="B6AEAF30"/>
    <w:lvl w:ilvl="0" w:tplc="9910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640AE8"/>
    <w:multiLevelType w:val="multilevel"/>
    <w:tmpl w:val="5464DB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C757D"/>
    <w:multiLevelType w:val="hybridMultilevel"/>
    <w:tmpl w:val="A36E272C"/>
    <w:lvl w:ilvl="0" w:tplc="D7B61882">
      <w:start w:val="5"/>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7C17A73"/>
    <w:multiLevelType w:val="multilevel"/>
    <w:tmpl w:val="C424292A"/>
    <w:lvl w:ilvl="0">
      <w:start w:val="1"/>
      <w:numFmt w:val="decimal"/>
      <w:lvlText w:val="%1."/>
      <w:lvlJc w:val="left"/>
      <w:pPr>
        <w:ind w:left="720" w:hanging="360"/>
      </w:pPr>
    </w:lvl>
    <w:lvl w:ilvl="1">
      <w:start w:val="1"/>
      <w:numFmt w:val="decimal"/>
      <w:isLgl/>
      <w:lvlText w:val="%1.%2."/>
      <w:lvlJc w:val="left"/>
      <w:pPr>
        <w:ind w:left="1080" w:hanging="720"/>
      </w:pPr>
      <w:rPr>
        <w:rFonts w:eastAsia="Times New Roman,Bold" w:hint="default"/>
        <w:b/>
      </w:rPr>
    </w:lvl>
    <w:lvl w:ilvl="2">
      <w:start w:val="1"/>
      <w:numFmt w:val="decimal"/>
      <w:isLgl/>
      <w:lvlText w:val="%1.%2.%3."/>
      <w:lvlJc w:val="left"/>
      <w:pPr>
        <w:ind w:left="1080" w:hanging="720"/>
      </w:pPr>
      <w:rPr>
        <w:rFonts w:eastAsia="Times New Roman,Bold" w:hint="default"/>
        <w:b/>
      </w:rPr>
    </w:lvl>
    <w:lvl w:ilvl="3">
      <w:start w:val="1"/>
      <w:numFmt w:val="decimal"/>
      <w:isLgl/>
      <w:lvlText w:val="%1.%2.%3.%4."/>
      <w:lvlJc w:val="left"/>
      <w:pPr>
        <w:ind w:left="1440" w:hanging="1080"/>
      </w:pPr>
      <w:rPr>
        <w:rFonts w:eastAsia="Times New Roman,Bold" w:hint="default"/>
        <w:b/>
      </w:rPr>
    </w:lvl>
    <w:lvl w:ilvl="4">
      <w:start w:val="1"/>
      <w:numFmt w:val="decimal"/>
      <w:isLgl/>
      <w:lvlText w:val="%1.%2.%3.%4.%5."/>
      <w:lvlJc w:val="left"/>
      <w:pPr>
        <w:ind w:left="1440" w:hanging="1080"/>
      </w:pPr>
      <w:rPr>
        <w:rFonts w:eastAsia="Times New Roman,Bold" w:hint="default"/>
        <w:b/>
      </w:rPr>
    </w:lvl>
    <w:lvl w:ilvl="5">
      <w:start w:val="1"/>
      <w:numFmt w:val="decimal"/>
      <w:isLgl/>
      <w:lvlText w:val="%1.%2.%3.%4.%5.%6."/>
      <w:lvlJc w:val="left"/>
      <w:pPr>
        <w:ind w:left="1800" w:hanging="1440"/>
      </w:pPr>
      <w:rPr>
        <w:rFonts w:eastAsia="Times New Roman,Bold" w:hint="default"/>
        <w:b/>
      </w:rPr>
    </w:lvl>
    <w:lvl w:ilvl="6">
      <w:start w:val="1"/>
      <w:numFmt w:val="decimal"/>
      <w:isLgl/>
      <w:lvlText w:val="%1.%2.%3.%4.%5.%6.%7."/>
      <w:lvlJc w:val="left"/>
      <w:pPr>
        <w:ind w:left="2160" w:hanging="1800"/>
      </w:pPr>
      <w:rPr>
        <w:rFonts w:eastAsia="Times New Roman,Bold" w:hint="default"/>
        <w:b/>
      </w:rPr>
    </w:lvl>
    <w:lvl w:ilvl="7">
      <w:start w:val="1"/>
      <w:numFmt w:val="decimal"/>
      <w:isLgl/>
      <w:lvlText w:val="%1.%2.%3.%4.%5.%6.%7.%8."/>
      <w:lvlJc w:val="left"/>
      <w:pPr>
        <w:ind w:left="2160" w:hanging="1800"/>
      </w:pPr>
      <w:rPr>
        <w:rFonts w:eastAsia="Times New Roman,Bold" w:hint="default"/>
        <w:b/>
      </w:rPr>
    </w:lvl>
    <w:lvl w:ilvl="8">
      <w:start w:val="1"/>
      <w:numFmt w:val="decimal"/>
      <w:isLgl/>
      <w:lvlText w:val="%1.%2.%3.%4.%5.%6.%7.%8.%9."/>
      <w:lvlJc w:val="left"/>
      <w:pPr>
        <w:ind w:left="2520" w:hanging="2160"/>
      </w:pPr>
      <w:rPr>
        <w:rFonts w:eastAsia="Times New Roman,Bold" w:hint="default"/>
        <w:b/>
      </w:rPr>
    </w:lvl>
  </w:abstractNum>
  <w:abstractNum w:abstractNumId="33" w15:restartNumberingAfterBreak="0">
    <w:nsid w:val="7894081F"/>
    <w:multiLevelType w:val="hybridMultilevel"/>
    <w:tmpl w:val="631A41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8CC7ADB"/>
    <w:multiLevelType w:val="hybridMultilevel"/>
    <w:tmpl w:val="12B8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7E6753"/>
    <w:multiLevelType w:val="hybridMultilevel"/>
    <w:tmpl w:val="4DF62418"/>
    <w:lvl w:ilvl="0" w:tplc="991081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2"/>
  </w:num>
  <w:num w:numId="3">
    <w:abstractNumId w:val="4"/>
  </w:num>
  <w:num w:numId="4">
    <w:abstractNumId w:val="2"/>
  </w:num>
  <w:num w:numId="5">
    <w:abstractNumId w:val="28"/>
  </w:num>
  <w:num w:numId="6">
    <w:abstractNumId w:val="6"/>
  </w:num>
  <w:num w:numId="7">
    <w:abstractNumId w:val="18"/>
  </w:num>
  <w:num w:numId="8">
    <w:abstractNumId w:val="33"/>
  </w:num>
  <w:num w:numId="9">
    <w:abstractNumId w:val="5"/>
  </w:num>
  <w:num w:numId="10">
    <w:abstractNumId w:val="13"/>
  </w:num>
  <w:num w:numId="11">
    <w:abstractNumId w:val="35"/>
  </w:num>
  <w:num w:numId="12">
    <w:abstractNumId w:val="31"/>
  </w:num>
  <w:num w:numId="13">
    <w:abstractNumId w:val="29"/>
  </w:num>
  <w:num w:numId="14">
    <w:abstractNumId w:val="23"/>
  </w:num>
  <w:num w:numId="15">
    <w:abstractNumId w:val="11"/>
  </w:num>
  <w:num w:numId="16">
    <w:abstractNumId w:val="22"/>
  </w:num>
  <w:num w:numId="17">
    <w:abstractNumId w:val="34"/>
  </w:num>
  <w:num w:numId="18">
    <w:abstractNumId w:val="10"/>
  </w:num>
  <w:num w:numId="19">
    <w:abstractNumId w:val="9"/>
  </w:num>
  <w:num w:numId="20">
    <w:abstractNumId w:val="25"/>
  </w:num>
  <w:num w:numId="21">
    <w:abstractNumId w:val="12"/>
  </w:num>
  <w:num w:numId="22">
    <w:abstractNumId w:val="21"/>
  </w:num>
  <w:num w:numId="23">
    <w:abstractNumId w:val="8"/>
  </w:num>
  <w:num w:numId="24">
    <w:abstractNumId w:val="7"/>
  </w:num>
  <w:num w:numId="25">
    <w:abstractNumId w:val="1"/>
  </w:num>
  <w:num w:numId="26">
    <w:abstractNumId w:val="3"/>
  </w:num>
  <w:num w:numId="27">
    <w:abstractNumId w:val="15"/>
  </w:num>
  <w:num w:numId="28">
    <w:abstractNumId w:val="0"/>
  </w:num>
  <w:num w:numId="29">
    <w:abstractNumId w:val="26"/>
  </w:num>
  <w:num w:numId="30">
    <w:abstractNumId w:val="20"/>
  </w:num>
  <w:num w:numId="31">
    <w:abstractNumId w:val="17"/>
  </w:num>
  <w:num w:numId="32">
    <w:abstractNumId w:val="24"/>
  </w:num>
  <w:num w:numId="33">
    <w:abstractNumId w:val="30"/>
  </w:num>
  <w:num w:numId="34">
    <w:abstractNumId w:val="14"/>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3B"/>
    <w:rsid w:val="00037F8A"/>
    <w:rsid w:val="00047AA0"/>
    <w:rsid w:val="0005259E"/>
    <w:rsid w:val="000579E9"/>
    <w:rsid w:val="00062309"/>
    <w:rsid w:val="00062F3B"/>
    <w:rsid w:val="0008756C"/>
    <w:rsid w:val="000A4401"/>
    <w:rsid w:val="000A6641"/>
    <w:rsid w:val="000B4587"/>
    <w:rsid w:val="000D2ADA"/>
    <w:rsid w:val="000F08CD"/>
    <w:rsid w:val="000F0FA4"/>
    <w:rsid w:val="0010217F"/>
    <w:rsid w:val="001210F0"/>
    <w:rsid w:val="00126910"/>
    <w:rsid w:val="001277DC"/>
    <w:rsid w:val="00127B20"/>
    <w:rsid w:val="00165E91"/>
    <w:rsid w:val="00190210"/>
    <w:rsid w:val="00191AE8"/>
    <w:rsid w:val="00197B99"/>
    <w:rsid w:val="001E3AA2"/>
    <w:rsid w:val="00210951"/>
    <w:rsid w:val="00214DDA"/>
    <w:rsid w:val="002274C2"/>
    <w:rsid w:val="00251BAA"/>
    <w:rsid w:val="00267075"/>
    <w:rsid w:val="0027297E"/>
    <w:rsid w:val="00290694"/>
    <w:rsid w:val="00290A59"/>
    <w:rsid w:val="002924D4"/>
    <w:rsid w:val="002A4130"/>
    <w:rsid w:val="002B1AFC"/>
    <w:rsid w:val="002C2664"/>
    <w:rsid w:val="002F6D68"/>
    <w:rsid w:val="003112C0"/>
    <w:rsid w:val="00322C88"/>
    <w:rsid w:val="0034065B"/>
    <w:rsid w:val="00351506"/>
    <w:rsid w:val="00370ED3"/>
    <w:rsid w:val="00373761"/>
    <w:rsid w:val="003802B9"/>
    <w:rsid w:val="003930AE"/>
    <w:rsid w:val="00397D11"/>
    <w:rsid w:val="003A3E5E"/>
    <w:rsid w:val="003D30AB"/>
    <w:rsid w:val="003E1549"/>
    <w:rsid w:val="003E45E2"/>
    <w:rsid w:val="0040481D"/>
    <w:rsid w:val="00405E6D"/>
    <w:rsid w:val="00407A1A"/>
    <w:rsid w:val="004145DA"/>
    <w:rsid w:val="004443E3"/>
    <w:rsid w:val="00446D9D"/>
    <w:rsid w:val="00452060"/>
    <w:rsid w:val="0046085E"/>
    <w:rsid w:val="00473D1F"/>
    <w:rsid w:val="004846A2"/>
    <w:rsid w:val="00493F6A"/>
    <w:rsid w:val="00495E7D"/>
    <w:rsid w:val="004A3556"/>
    <w:rsid w:val="004B6C02"/>
    <w:rsid w:val="004B71EF"/>
    <w:rsid w:val="004B7C47"/>
    <w:rsid w:val="004C586C"/>
    <w:rsid w:val="004D4E1E"/>
    <w:rsid w:val="004D7ED3"/>
    <w:rsid w:val="005148D4"/>
    <w:rsid w:val="005273F5"/>
    <w:rsid w:val="005331CB"/>
    <w:rsid w:val="005351F2"/>
    <w:rsid w:val="00535CD4"/>
    <w:rsid w:val="00552AD3"/>
    <w:rsid w:val="00553E8B"/>
    <w:rsid w:val="00573E5C"/>
    <w:rsid w:val="005766F2"/>
    <w:rsid w:val="005829D5"/>
    <w:rsid w:val="00584FAA"/>
    <w:rsid w:val="00586DC3"/>
    <w:rsid w:val="0059152B"/>
    <w:rsid w:val="00597AC1"/>
    <w:rsid w:val="005A4190"/>
    <w:rsid w:val="005A63C9"/>
    <w:rsid w:val="005A68F5"/>
    <w:rsid w:val="005B2738"/>
    <w:rsid w:val="005C4701"/>
    <w:rsid w:val="00606B43"/>
    <w:rsid w:val="00634BD7"/>
    <w:rsid w:val="00646AEC"/>
    <w:rsid w:val="00655963"/>
    <w:rsid w:val="006707B9"/>
    <w:rsid w:val="006714A3"/>
    <w:rsid w:val="00695C3B"/>
    <w:rsid w:val="006B7E8B"/>
    <w:rsid w:val="006E1097"/>
    <w:rsid w:val="00700BA3"/>
    <w:rsid w:val="00710B9A"/>
    <w:rsid w:val="00724C11"/>
    <w:rsid w:val="00734CA0"/>
    <w:rsid w:val="00770B03"/>
    <w:rsid w:val="00772C6C"/>
    <w:rsid w:val="007823F5"/>
    <w:rsid w:val="007A4750"/>
    <w:rsid w:val="007B541D"/>
    <w:rsid w:val="007F7AC2"/>
    <w:rsid w:val="00842472"/>
    <w:rsid w:val="00852BBE"/>
    <w:rsid w:val="00854AD1"/>
    <w:rsid w:val="00874FF9"/>
    <w:rsid w:val="008858CC"/>
    <w:rsid w:val="008A2D08"/>
    <w:rsid w:val="008E05F6"/>
    <w:rsid w:val="008E788F"/>
    <w:rsid w:val="009367EF"/>
    <w:rsid w:val="009442D0"/>
    <w:rsid w:val="00953AB4"/>
    <w:rsid w:val="00956E31"/>
    <w:rsid w:val="00973A03"/>
    <w:rsid w:val="00982C0C"/>
    <w:rsid w:val="009B16A8"/>
    <w:rsid w:val="009D1DAA"/>
    <w:rsid w:val="009F18D2"/>
    <w:rsid w:val="00A12AE3"/>
    <w:rsid w:val="00A47F15"/>
    <w:rsid w:val="00A52E39"/>
    <w:rsid w:val="00A539F2"/>
    <w:rsid w:val="00A540F9"/>
    <w:rsid w:val="00A70871"/>
    <w:rsid w:val="00A72970"/>
    <w:rsid w:val="00A8092A"/>
    <w:rsid w:val="00A82B13"/>
    <w:rsid w:val="00A84E21"/>
    <w:rsid w:val="00AB140E"/>
    <w:rsid w:val="00AC5E9B"/>
    <w:rsid w:val="00B21B72"/>
    <w:rsid w:val="00B56237"/>
    <w:rsid w:val="00B7487E"/>
    <w:rsid w:val="00BA5A99"/>
    <w:rsid w:val="00BA7A6A"/>
    <w:rsid w:val="00BC13A3"/>
    <w:rsid w:val="00BD4ECD"/>
    <w:rsid w:val="00BE4617"/>
    <w:rsid w:val="00C35D68"/>
    <w:rsid w:val="00C40B77"/>
    <w:rsid w:val="00C618F9"/>
    <w:rsid w:val="00C65704"/>
    <w:rsid w:val="00C724BF"/>
    <w:rsid w:val="00C7284D"/>
    <w:rsid w:val="00C75050"/>
    <w:rsid w:val="00C801BA"/>
    <w:rsid w:val="00C8465C"/>
    <w:rsid w:val="00CC1104"/>
    <w:rsid w:val="00CC6D13"/>
    <w:rsid w:val="00CE7A85"/>
    <w:rsid w:val="00D06FCF"/>
    <w:rsid w:val="00D31F94"/>
    <w:rsid w:val="00D425E2"/>
    <w:rsid w:val="00D767C8"/>
    <w:rsid w:val="00DB0A07"/>
    <w:rsid w:val="00DB35B1"/>
    <w:rsid w:val="00DC7C4C"/>
    <w:rsid w:val="00DD0C3F"/>
    <w:rsid w:val="00DE7FEE"/>
    <w:rsid w:val="00DF1AEC"/>
    <w:rsid w:val="00DF4A6D"/>
    <w:rsid w:val="00E167F2"/>
    <w:rsid w:val="00E32FD5"/>
    <w:rsid w:val="00E61079"/>
    <w:rsid w:val="00E94184"/>
    <w:rsid w:val="00EC49ED"/>
    <w:rsid w:val="00EC79C9"/>
    <w:rsid w:val="00ED1A87"/>
    <w:rsid w:val="00F04C4E"/>
    <w:rsid w:val="00F21C5F"/>
    <w:rsid w:val="00F33E14"/>
    <w:rsid w:val="00F44FC1"/>
    <w:rsid w:val="00F71DC3"/>
    <w:rsid w:val="00F738BB"/>
    <w:rsid w:val="00F84306"/>
    <w:rsid w:val="00F86C79"/>
    <w:rsid w:val="00FC7255"/>
    <w:rsid w:val="00FD5BAA"/>
    <w:rsid w:val="00FD70D8"/>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9F0AF-765E-4644-987D-DF369033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E8B"/>
    <w:pPr>
      <w:keepNext/>
      <w:keepLines/>
      <w:spacing w:before="480" w:after="0"/>
      <w:jc w:val="center"/>
      <w:outlineLvl w:val="0"/>
    </w:pPr>
    <w:rPr>
      <w:rFonts w:ascii="Palatino Linotype" w:eastAsiaTheme="majorEastAsia" w:hAnsi="Palatino Linotype" w:cstheme="majorBidi"/>
      <w:b/>
      <w:bCs/>
      <w:sz w:val="28"/>
      <w:szCs w:val="28"/>
    </w:rPr>
  </w:style>
  <w:style w:type="paragraph" w:styleId="Heading2">
    <w:name w:val="heading 2"/>
    <w:basedOn w:val="Normal"/>
    <w:next w:val="Normal"/>
    <w:link w:val="Heading2Char"/>
    <w:uiPriority w:val="9"/>
    <w:unhideWhenUsed/>
    <w:qFormat/>
    <w:rsid w:val="006B7E8B"/>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3"/>
    <w:pPr>
      <w:ind w:left="720"/>
      <w:contextualSpacing/>
    </w:pPr>
  </w:style>
  <w:style w:type="paragraph" w:styleId="FootnoteText">
    <w:name w:val="footnote text"/>
    <w:basedOn w:val="Normal"/>
    <w:link w:val="FootnoteTextChar"/>
    <w:uiPriority w:val="99"/>
    <w:semiHidden/>
    <w:unhideWhenUsed/>
    <w:rsid w:val="00A82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B13"/>
    <w:rPr>
      <w:sz w:val="20"/>
      <w:szCs w:val="20"/>
    </w:rPr>
  </w:style>
  <w:style w:type="character" w:styleId="FootnoteReference">
    <w:name w:val="footnote reference"/>
    <w:basedOn w:val="DefaultParagraphFont"/>
    <w:uiPriority w:val="99"/>
    <w:semiHidden/>
    <w:unhideWhenUsed/>
    <w:rsid w:val="00A82B13"/>
    <w:rPr>
      <w:vertAlign w:val="superscript"/>
    </w:rPr>
  </w:style>
  <w:style w:type="paragraph" w:styleId="BalloonText">
    <w:name w:val="Balloon Text"/>
    <w:basedOn w:val="Normal"/>
    <w:link w:val="BalloonTextChar"/>
    <w:uiPriority w:val="99"/>
    <w:semiHidden/>
    <w:unhideWhenUsed/>
    <w:rsid w:val="0040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1A"/>
    <w:rPr>
      <w:rFonts w:ascii="Tahoma" w:hAnsi="Tahoma" w:cs="Tahoma"/>
      <w:sz w:val="16"/>
      <w:szCs w:val="16"/>
    </w:rPr>
  </w:style>
  <w:style w:type="paragraph" w:customStyle="1" w:styleId="Default">
    <w:name w:val="Default"/>
    <w:rsid w:val="006707B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DC7C4C"/>
    <w:pPr>
      <w:spacing w:after="120"/>
    </w:pPr>
  </w:style>
  <w:style w:type="character" w:customStyle="1" w:styleId="BodyTextChar">
    <w:name w:val="Body Text Char"/>
    <w:basedOn w:val="DefaultParagraphFont"/>
    <w:link w:val="BodyText"/>
    <w:uiPriority w:val="99"/>
    <w:semiHidden/>
    <w:rsid w:val="00DC7C4C"/>
  </w:style>
  <w:style w:type="table" w:styleId="TableGrid">
    <w:name w:val="Table Grid"/>
    <w:basedOn w:val="TableNormal"/>
    <w:uiPriority w:val="59"/>
    <w:rsid w:val="00DD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45DA"/>
    <w:pPr>
      <w:spacing w:after="0" w:line="240" w:lineRule="auto"/>
    </w:pPr>
  </w:style>
  <w:style w:type="character" w:styleId="Hyperlink">
    <w:name w:val="Hyperlink"/>
    <w:basedOn w:val="DefaultParagraphFont"/>
    <w:uiPriority w:val="99"/>
    <w:unhideWhenUsed/>
    <w:rsid w:val="00F84306"/>
    <w:rPr>
      <w:color w:val="0000FF" w:themeColor="hyperlink"/>
      <w:u w:val="single"/>
    </w:rPr>
  </w:style>
  <w:style w:type="character" w:customStyle="1" w:styleId="Heading1Char">
    <w:name w:val="Heading 1 Char"/>
    <w:basedOn w:val="DefaultParagraphFont"/>
    <w:link w:val="Heading1"/>
    <w:uiPriority w:val="9"/>
    <w:rsid w:val="006B7E8B"/>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6B7E8B"/>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6B7E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7E8B"/>
  </w:style>
  <w:style w:type="paragraph" w:styleId="Footer">
    <w:name w:val="footer"/>
    <w:basedOn w:val="Normal"/>
    <w:link w:val="FooterChar"/>
    <w:uiPriority w:val="99"/>
    <w:unhideWhenUsed/>
    <w:rsid w:val="006B7E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7E8B"/>
  </w:style>
  <w:style w:type="paragraph" w:styleId="TOCHeading">
    <w:name w:val="TOC Heading"/>
    <w:basedOn w:val="Heading1"/>
    <w:next w:val="Normal"/>
    <w:uiPriority w:val="39"/>
    <w:unhideWhenUsed/>
    <w:qFormat/>
    <w:rsid w:val="006B7E8B"/>
    <w:pPr>
      <w:jc w:val="left"/>
      <w:outlineLvl w:val="9"/>
    </w:pPr>
    <w:rPr>
      <w:rFonts w:asciiTheme="majorHAnsi" w:hAnsiTheme="majorHAnsi"/>
      <w:color w:val="365F91" w:themeColor="accent1" w:themeShade="BF"/>
      <w:lang w:eastAsia="ru-RU"/>
    </w:rPr>
  </w:style>
  <w:style w:type="paragraph" w:styleId="TOC1">
    <w:name w:val="toc 1"/>
    <w:basedOn w:val="Normal"/>
    <w:next w:val="Normal"/>
    <w:autoRedefine/>
    <w:uiPriority w:val="39"/>
    <w:unhideWhenUsed/>
    <w:rsid w:val="006B7E8B"/>
    <w:pPr>
      <w:spacing w:after="100"/>
    </w:pPr>
  </w:style>
  <w:style w:type="paragraph" w:styleId="TOC2">
    <w:name w:val="toc 2"/>
    <w:basedOn w:val="Normal"/>
    <w:next w:val="Normal"/>
    <w:autoRedefine/>
    <w:uiPriority w:val="39"/>
    <w:unhideWhenUsed/>
    <w:rsid w:val="006B7E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05">
      <w:bodyDiv w:val="1"/>
      <w:marLeft w:val="0"/>
      <w:marRight w:val="0"/>
      <w:marTop w:val="0"/>
      <w:marBottom w:val="0"/>
      <w:divBdr>
        <w:top w:val="none" w:sz="0" w:space="0" w:color="auto"/>
        <w:left w:val="none" w:sz="0" w:space="0" w:color="auto"/>
        <w:bottom w:val="none" w:sz="0" w:space="0" w:color="auto"/>
        <w:right w:val="none" w:sz="0" w:space="0" w:color="auto"/>
      </w:divBdr>
    </w:div>
    <w:div w:id="314263261">
      <w:bodyDiv w:val="1"/>
      <w:marLeft w:val="0"/>
      <w:marRight w:val="0"/>
      <w:marTop w:val="0"/>
      <w:marBottom w:val="0"/>
      <w:divBdr>
        <w:top w:val="none" w:sz="0" w:space="0" w:color="auto"/>
        <w:left w:val="none" w:sz="0" w:space="0" w:color="auto"/>
        <w:bottom w:val="none" w:sz="0" w:space="0" w:color="auto"/>
        <w:right w:val="none" w:sz="0" w:space="0" w:color="auto"/>
      </w:divBdr>
    </w:div>
    <w:div w:id="486282771">
      <w:bodyDiv w:val="1"/>
      <w:marLeft w:val="0"/>
      <w:marRight w:val="0"/>
      <w:marTop w:val="0"/>
      <w:marBottom w:val="0"/>
      <w:divBdr>
        <w:top w:val="none" w:sz="0" w:space="0" w:color="auto"/>
        <w:left w:val="none" w:sz="0" w:space="0" w:color="auto"/>
        <w:bottom w:val="none" w:sz="0" w:space="0" w:color="auto"/>
        <w:right w:val="none" w:sz="0" w:space="0" w:color="auto"/>
      </w:divBdr>
      <w:divsChild>
        <w:div w:id="349600832">
          <w:marLeft w:val="0"/>
          <w:marRight w:val="0"/>
          <w:marTop w:val="0"/>
          <w:marBottom w:val="0"/>
          <w:divBdr>
            <w:top w:val="none" w:sz="0" w:space="0" w:color="auto"/>
            <w:left w:val="none" w:sz="0" w:space="0" w:color="auto"/>
            <w:bottom w:val="none" w:sz="0" w:space="0" w:color="auto"/>
            <w:right w:val="none" w:sz="0" w:space="0" w:color="auto"/>
          </w:divBdr>
          <w:divsChild>
            <w:div w:id="862591118">
              <w:marLeft w:val="0"/>
              <w:marRight w:val="0"/>
              <w:marTop w:val="0"/>
              <w:marBottom w:val="0"/>
              <w:divBdr>
                <w:top w:val="none" w:sz="0" w:space="0" w:color="auto"/>
                <w:left w:val="none" w:sz="0" w:space="0" w:color="auto"/>
                <w:bottom w:val="none" w:sz="0" w:space="0" w:color="auto"/>
                <w:right w:val="none" w:sz="0" w:space="0" w:color="auto"/>
              </w:divBdr>
              <w:divsChild>
                <w:div w:id="399638726">
                  <w:marLeft w:val="0"/>
                  <w:marRight w:val="0"/>
                  <w:marTop w:val="0"/>
                  <w:marBottom w:val="0"/>
                  <w:divBdr>
                    <w:top w:val="none" w:sz="0" w:space="0" w:color="auto"/>
                    <w:left w:val="none" w:sz="0" w:space="0" w:color="auto"/>
                    <w:bottom w:val="none" w:sz="0" w:space="0" w:color="auto"/>
                    <w:right w:val="none" w:sz="0" w:space="0" w:color="auto"/>
                  </w:divBdr>
                  <w:divsChild>
                    <w:div w:id="552930626">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sChild>
                            <w:div w:id="735280578">
                              <w:marLeft w:val="0"/>
                              <w:marRight w:val="300"/>
                              <w:marTop w:val="180"/>
                              <w:marBottom w:val="0"/>
                              <w:divBdr>
                                <w:top w:val="none" w:sz="0" w:space="0" w:color="auto"/>
                                <w:left w:val="none" w:sz="0" w:space="0" w:color="auto"/>
                                <w:bottom w:val="none" w:sz="0" w:space="0" w:color="auto"/>
                                <w:right w:val="none" w:sz="0" w:space="0" w:color="auto"/>
                              </w:divBdr>
                              <w:divsChild>
                                <w:div w:id="2048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22983">
          <w:marLeft w:val="0"/>
          <w:marRight w:val="0"/>
          <w:marTop w:val="0"/>
          <w:marBottom w:val="0"/>
          <w:divBdr>
            <w:top w:val="none" w:sz="0" w:space="0" w:color="auto"/>
            <w:left w:val="none" w:sz="0" w:space="0" w:color="auto"/>
            <w:bottom w:val="none" w:sz="0" w:space="0" w:color="auto"/>
            <w:right w:val="none" w:sz="0" w:space="0" w:color="auto"/>
          </w:divBdr>
          <w:divsChild>
            <w:div w:id="1484270546">
              <w:marLeft w:val="0"/>
              <w:marRight w:val="0"/>
              <w:marTop w:val="0"/>
              <w:marBottom w:val="0"/>
              <w:divBdr>
                <w:top w:val="none" w:sz="0" w:space="0" w:color="auto"/>
                <w:left w:val="none" w:sz="0" w:space="0" w:color="auto"/>
                <w:bottom w:val="none" w:sz="0" w:space="0" w:color="auto"/>
                <w:right w:val="none" w:sz="0" w:space="0" w:color="auto"/>
              </w:divBdr>
              <w:divsChild>
                <w:div w:id="2103647727">
                  <w:marLeft w:val="0"/>
                  <w:marRight w:val="0"/>
                  <w:marTop w:val="0"/>
                  <w:marBottom w:val="0"/>
                  <w:divBdr>
                    <w:top w:val="none" w:sz="0" w:space="0" w:color="auto"/>
                    <w:left w:val="none" w:sz="0" w:space="0" w:color="auto"/>
                    <w:bottom w:val="none" w:sz="0" w:space="0" w:color="auto"/>
                    <w:right w:val="none" w:sz="0" w:space="0" w:color="auto"/>
                  </w:divBdr>
                  <w:divsChild>
                    <w:div w:id="570579654">
                      <w:marLeft w:val="0"/>
                      <w:marRight w:val="0"/>
                      <w:marTop w:val="0"/>
                      <w:marBottom w:val="0"/>
                      <w:divBdr>
                        <w:top w:val="none" w:sz="0" w:space="0" w:color="auto"/>
                        <w:left w:val="none" w:sz="0" w:space="0" w:color="auto"/>
                        <w:bottom w:val="none" w:sz="0" w:space="0" w:color="auto"/>
                        <w:right w:val="none" w:sz="0" w:space="0" w:color="auto"/>
                      </w:divBdr>
                      <w:divsChild>
                        <w:div w:id="1616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fitchratings.com/site/pr/10024572"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cbar.az/assets/4523/STAT%C4%B0ST%C4%B0K_BULLETEN_2018_YANVAR.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ar.az/other/azn-rates?act=betweenForm&amp;from%5Bday%5D=21&amp;from%5Bmonth%5D=2&amp;from%5Byear%5D=2017&amp;to%5Bday%5D=21&amp;to%5Bmonth%5D=3&amp;to%5Byear%5D=2018&amp;rateID=usd"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Ümumi kapital</c:v>
                </c:pt>
              </c:strCache>
            </c:strRef>
          </c:tx>
          <c:invertIfNegative val="0"/>
          <c:cat>
            <c:numRef>
              <c:f>Лист1!$A$2:$A$3</c:f>
              <c:numCache>
                <c:formatCode>General</c:formatCode>
                <c:ptCount val="2"/>
                <c:pt idx="0">
                  <c:v>2007</c:v>
                </c:pt>
                <c:pt idx="1">
                  <c:v>2018</c:v>
                </c:pt>
              </c:numCache>
            </c:numRef>
          </c:cat>
          <c:val>
            <c:numRef>
              <c:f>Лист1!$B$2:$B$3</c:f>
              <c:numCache>
                <c:formatCode>General</c:formatCode>
                <c:ptCount val="2"/>
                <c:pt idx="0" formatCode="#,##0">
                  <c:v>133250</c:v>
                </c:pt>
                <c:pt idx="1">
                  <c:v>45112.65</c:v>
                </c:pt>
              </c:numCache>
            </c:numRef>
          </c:val>
          <c:extLst xmlns:c16r2="http://schemas.microsoft.com/office/drawing/2015/06/chart">
            <c:ext xmlns:c16="http://schemas.microsoft.com/office/drawing/2014/chart" uri="{C3380CC4-5D6E-409C-BE32-E72D297353CC}">
              <c16:uniqueId val="{00000000-2D6A-4A2C-B5B6-6C118B901FDE}"/>
            </c:ext>
          </c:extLst>
        </c:ser>
        <c:ser>
          <c:idx val="1"/>
          <c:order val="1"/>
          <c:tx>
            <c:strRef>
              <c:f>Лист1!$C$1</c:f>
              <c:strCache>
                <c:ptCount val="1"/>
                <c:pt idx="0">
                  <c:v>kapitalın adekvatlıq </c:v>
                </c:pt>
              </c:strCache>
            </c:strRef>
          </c:tx>
          <c:invertIfNegative val="0"/>
          <c:cat>
            <c:numRef>
              <c:f>Лист1!$A$2:$A$3</c:f>
              <c:numCache>
                <c:formatCode>General</c:formatCode>
                <c:ptCount val="2"/>
                <c:pt idx="0">
                  <c:v>2007</c:v>
                </c:pt>
                <c:pt idx="1">
                  <c:v>2018</c:v>
                </c:pt>
              </c:numCache>
            </c:numRef>
          </c:cat>
          <c:val>
            <c:numRef>
              <c:f>Лист1!$C$2:$C$3</c:f>
              <c:numCache>
                <c:formatCode>General</c:formatCode>
                <c:ptCount val="2"/>
                <c:pt idx="0">
                  <c:v>20.399999999999999</c:v>
                </c:pt>
                <c:pt idx="1">
                  <c:v>4.03</c:v>
                </c:pt>
              </c:numCache>
            </c:numRef>
          </c:val>
          <c:extLst xmlns:c16r2="http://schemas.microsoft.com/office/drawing/2015/06/chart">
            <c:ext xmlns:c16="http://schemas.microsoft.com/office/drawing/2014/chart" uri="{C3380CC4-5D6E-409C-BE32-E72D297353CC}">
              <c16:uniqueId val="{00000001-2D6A-4A2C-B5B6-6C118B901FDE}"/>
            </c:ext>
          </c:extLst>
        </c:ser>
        <c:ser>
          <c:idx val="2"/>
          <c:order val="2"/>
          <c:tx>
            <c:strRef>
              <c:f>Лист1!$D$1</c:f>
              <c:strCache>
                <c:ptCount val="1"/>
                <c:pt idx="0">
                  <c:v>Əməliyyat mənfəəti</c:v>
                </c:pt>
              </c:strCache>
            </c:strRef>
          </c:tx>
          <c:invertIfNegative val="0"/>
          <c:cat>
            <c:numRef>
              <c:f>Лист1!$A$2:$A$3</c:f>
              <c:numCache>
                <c:formatCode>General</c:formatCode>
                <c:ptCount val="2"/>
                <c:pt idx="0">
                  <c:v>2007</c:v>
                </c:pt>
                <c:pt idx="1">
                  <c:v>2018</c:v>
                </c:pt>
              </c:numCache>
            </c:numRef>
          </c:cat>
          <c:val>
            <c:numRef>
              <c:f>Лист1!$D$2:$D$3</c:f>
              <c:numCache>
                <c:formatCode>#,##0</c:formatCode>
                <c:ptCount val="2"/>
                <c:pt idx="0">
                  <c:v>17588</c:v>
                </c:pt>
                <c:pt idx="1">
                  <c:v>11579</c:v>
                </c:pt>
              </c:numCache>
            </c:numRef>
          </c:val>
          <c:extLst xmlns:c16r2="http://schemas.microsoft.com/office/drawing/2015/06/chart">
            <c:ext xmlns:c16="http://schemas.microsoft.com/office/drawing/2014/chart" uri="{C3380CC4-5D6E-409C-BE32-E72D297353CC}">
              <c16:uniqueId val="{00000002-2D6A-4A2C-B5B6-6C118B901FDE}"/>
            </c:ext>
          </c:extLst>
        </c:ser>
        <c:dLbls>
          <c:showLegendKey val="0"/>
          <c:showVal val="0"/>
          <c:showCatName val="0"/>
          <c:showSerName val="0"/>
          <c:showPercent val="0"/>
          <c:showBubbleSize val="0"/>
        </c:dLbls>
        <c:gapWidth val="150"/>
        <c:axId val="887688928"/>
        <c:axId val="887718848"/>
      </c:barChart>
      <c:catAx>
        <c:axId val="887688928"/>
        <c:scaling>
          <c:orientation val="minMax"/>
        </c:scaling>
        <c:delete val="0"/>
        <c:axPos val="b"/>
        <c:numFmt formatCode="General" sourceLinked="1"/>
        <c:majorTickMark val="out"/>
        <c:minorTickMark val="none"/>
        <c:tickLblPos val="nextTo"/>
        <c:crossAx val="887718848"/>
        <c:crosses val="autoZero"/>
        <c:auto val="1"/>
        <c:lblAlgn val="ctr"/>
        <c:lblOffset val="100"/>
        <c:noMultiLvlLbl val="0"/>
      </c:catAx>
      <c:valAx>
        <c:axId val="887718848"/>
        <c:scaling>
          <c:orientation val="minMax"/>
        </c:scaling>
        <c:delete val="0"/>
        <c:axPos val="l"/>
        <c:majorGridlines/>
        <c:numFmt formatCode="#,##0" sourceLinked="1"/>
        <c:majorTickMark val="out"/>
        <c:minorTickMark val="none"/>
        <c:tickLblPos val="nextTo"/>
        <c:crossAx val="8876889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Access Bank</c:v>
                </c:pt>
              </c:strCache>
            </c:strRef>
          </c:tx>
          <c:invertIfNegative val="0"/>
          <c:cat>
            <c:strRef>
              <c:f>Лист1!$A$2:$A$5</c:f>
              <c:strCache>
                <c:ptCount val="4"/>
                <c:pt idx="0">
                  <c:v>Əsas kapital</c:v>
                </c:pt>
                <c:pt idx="1">
                  <c:v>II dərəcəli kapital </c:v>
                </c:pt>
                <c:pt idx="2">
                  <c:v>Cari ilin mənfəəti</c:v>
                </c:pt>
                <c:pt idx="3">
                  <c:v>Məcmu kapital </c:v>
                </c:pt>
              </c:strCache>
            </c:strRef>
          </c:cat>
          <c:val>
            <c:numRef>
              <c:f>Лист1!$B$2:$B$5</c:f>
              <c:numCache>
                <c:formatCode>General</c:formatCode>
                <c:ptCount val="4"/>
                <c:pt idx="0">
                  <c:v>45112.65</c:v>
                </c:pt>
                <c:pt idx="1">
                  <c:v>15034.07</c:v>
                </c:pt>
                <c:pt idx="2">
                  <c:v>0</c:v>
                </c:pt>
                <c:pt idx="3">
                  <c:v>30068.13</c:v>
                </c:pt>
              </c:numCache>
            </c:numRef>
          </c:val>
          <c:extLst xmlns:c16r2="http://schemas.microsoft.com/office/drawing/2015/06/chart">
            <c:ext xmlns:c16="http://schemas.microsoft.com/office/drawing/2014/chart" uri="{C3380CC4-5D6E-409C-BE32-E72D297353CC}">
              <c16:uniqueId val="{00000000-B763-4B33-9753-AF001BE36E7D}"/>
            </c:ext>
          </c:extLst>
        </c:ser>
        <c:ser>
          <c:idx val="1"/>
          <c:order val="1"/>
          <c:tx>
            <c:strRef>
              <c:f>Лист1!$C$1</c:f>
              <c:strCache>
                <c:ptCount val="1"/>
                <c:pt idx="0">
                  <c:v>Kapital Bank</c:v>
                </c:pt>
              </c:strCache>
            </c:strRef>
          </c:tx>
          <c:invertIfNegative val="0"/>
          <c:cat>
            <c:strRef>
              <c:f>Лист1!$A$2:$A$5</c:f>
              <c:strCache>
                <c:ptCount val="4"/>
                <c:pt idx="0">
                  <c:v>Əsas kapital</c:v>
                </c:pt>
                <c:pt idx="1">
                  <c:v>II dərəcəli kapital </c:v>
                </c:pt>
                <c:pt idx="2">
                  <c:v>Cari ilin mənfəəti</c:v>
                </c:pt>
                <c:pt idx="3">
                  <c:v>Məcmu kapital </c:v>
                </c:pt>
              </c:strCache>
            </c:strRef>
          </c:cat>
          <c:val>
            <c:numRef>
              <c:f>Лист1!$C$2:$C$5</c:f>
              <c:numCache>
                <c:formatCode>General</c:formatCode>
                <c:ptCount val="4"/>
                <c:pt idx="0">
                  <c:v>248835</c:v>
                </c:pt>
                <c:pt idx="1">
                  <c:v>118200</c:v>
                </c:pt>
                <c:pt idx="2">
                  <c:v>98053</c:v>
                </c:pt>
                <c:pt idx="3">
                  <c:v>347831</c:v>
                </c:pt>
              </c:numCache>
            </c:numRef>
          </c:val>
          <c:extLst xmlns:c16r2="http://schemas.microsoft.com/office/drawing/2015/06/chart">
            <c:ext xmlns:c16="http://schemas.microsoft.com/office/drawing/2014/chart" uri="{C3380CC4-5D6E-409C-BE32-E72D297353CC}">
              <c16:uniqueId val="{00000001-B763-4B33-9753-AF001BE36E7D}"/>
            </c:ext>
          </c:extLst>
        </c:ser>
        <c:dLbls>
          <c:showLegendKey val="0"/>
          <c:showVal val="0"/>
          <c:showCatName val="0"/>
          <c:showSerName val="0"/>
          <c:showPercent val="0"/>
          <c:showBubbleSize val="0"/>
        </c:dLbls>
        <c:gapWidth val="150"/>
        <c:axId val="887696000"/>
        <c:axId val="887710688"/>
      </c:barChart>
      <c:catAx>
        <c:axId val="887696000"/>
        <c:scaling>
          <c:orientation val="minMax"/>
        </c:scaling>
        <c:delete val="0"/>
        <c:axPos val="b"/>
        <c:numFmt formatCode="General" sourceLinked="0"/>
        <c:majorTickMark val="out"/>
        <c:minorTickMark val="none"/>
        <c:tickLblPos val="nextTo"/>
        <c:crossAx val="887710688"/>
        <c:crosses val="autoZero"/>
        <c:auto val="1"/>
        <c:lblAlgn val="ctr"/>
        <c:lblOffset val="100"/>
        <c:noMultiLvlLbl val="0"/>
      </c:catAx>
      <c:valAx>
        <c:axId val="887710688"/>
        <c:scaling>
          <c:orientation val="minMax"/>
        </c:scaling>
        <c:delete val="0"/>
        <c:axPos val="l"/>
        <c:majorGridlines/>
        <c:numFmt formatCode="General" sourceLinked="1"/>
        <c:majorTickMark val="out"/>
        <c:minorTickMark val="none"/>
        <c:tickLblPos val="nextTo"/>
        <c:crossAx val="887696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Сор10</b:Tag>
    <b:SourceType>Book</b:SourceType>
    <b:Guid>{9EA4FB7D-D8B3-4B09-B11E-02C50D85097C}</b:Guid>
    <b:Author>
      <b:Author>
        <b:Corporate>Сорос Д. </b:Corporate>
      </b:Author>
    </b:Author>
    <b:Year>2010</b:Year>
    <b:RefOrder>6</b:RefOrder>
  </b:Source>
  <b:Source>
    <b:Tag>Май11</b:Tag>
    <b:SourceType>Book</b:SourceType>
    <b:Guid>{4A629FE9-2D1F-41FA-A418-7A56DB9F61C7}</b:Guid>
    <b:Author>
      <b:Author>
        <b:Corporate>Майкл Льюис. </b:Corporate>
      </b:Author>
    </b:Author>
    <b:Year>2011</b:Year>
    <b:RefOrder>7</b:RefOrder>
  </b:Source>
  <b:Source>
    <b:Tag>Sad10</b:Tag>
    <b:SourceType>Book</b:SourceType>
    <b:Guid>{B354DAED-31A1-4D75-A4A6-50B40795DAA3}</b:Guid>
    <b:Author>
      <b:Author>
        <b:Corporate>Sadıqov E.M. </b:Corporate>
      </b:Author>
    </b:Author>
    <b:Year>2010</b:Year>
    <b:RefOrder>8</b:RefOrder>
  </b:Source>
  <b:Source>
    <b:Tag>Sad101</b:Tag>
    <b:SourceType>Book</b:SourceType>
    <b:Guid>{CE2A9070-27B2-4E9E-A7D8-8D7F86950AC3}</b:Guid>
    <b:Author>
      <b:Author>
        <b:Corporate>Sadıqov E.M. </b:Corporate>
      </b:Author>
    </b:Author>
    <b:Year>2010</b:Year>
    <b:RefOrder>9</b:RefOrder>
  </b:Source>
  <b:Source>
    <b:Tag>Həs131</b:Tag>
    <b:SourceType>Book</b:SourceType>
    <b:Guid>{1B414A8F-BC81-4E01-BEC8-581376AB76DA}</b:Guid>
    <b:Author>
      <b:Author>
        <b:Corporate>Həsənov H.K.</b:Corporate>
      </b:Author>
    </b:Author>
    <b:Year>2013</b:Year>
    <b:RefOrder>10</b:RefOrder>
  </b:Source>
</b:Sources>
</file>

<file path=customXml/itemProps1.xml><?xml version="1.0" encoding="utf-8"?>
<ds:datastoreItem xmlns:ds="http://schemas.openxmlformats.org/officeDocument/2006/customXml" ds:itemID="{7A81CFD3-A5C0-4BDF-827F-4790973F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13796</Words>
  <Characters>78641</Characters>
  <Application>Microsoft Office Word</Application>
  <DocSecurity>0</DocSecurity>
  <Lines>655</Lines>
  <Paragraphs>184</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 Abdulrehimbeyli</dc:creator>
  <cp:keywords/>
  <dc:description/>
  <cp:lastModifiedBy>Garanfil.Sadigova</cp:lastModifiedBy>
  <cp:revision>2</cp:revision>
  <dcterms:created xsi:type="dcterms:W3CDTF">2019-05-20T13:08:00Z</dcterms:created>
  <dcterms:modified xsi:type="dcterms:W3CDTF">2019-05-20T13:08:00Z</dcterms:modified>
</cp:coreProperties>
</file>