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C7" w:rsidRPr="002C4FDC" w:rsidRDefault="002C4FDC" w:rsidP="002C4FD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Firuzi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Mətin_</w:t>
      </w:r>
      <w:proofErr w:type="gramStart"/>
      <w:r>
        <w:rPr>
          <w:b/>
          <w:sz w:val="28"/>
          <w:szCs w:val="28"/>
          <w:lang w:val="en-US"/>
        </w:rPr>
        <w:t>Büdcə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və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xəzinə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uçotu</w:t>
      </w:r>
      <w:proofErr w:type="spellEnd"/>
    </w:p>
    <w:p w:rsidR="002900C7" w:rsidRDefault="002900C7" w:rsidP="002767EE">
      <w:pPr>
        <w:pStyle w:val="a3"/>
        <w:ind w:left="1080"/>
        <w:rPr>
          <w:b/>
          <w:sz w:val="28"/>
          <w:szCs w:val="28"/>
          <w:lang w:val="en-US"/>
        </w:rPr>
      </w:pPr>
    </w:p>
    <w:p w:rsidR="002900C7" w:rsidRDefault="002900C7" w:rsidP="002767EE">
      <w:pPr>
        <w:pStyle w:val="a3"/>
        <w:ind w:left="1080"/>
        <w:rPr>
          <w:b/>
          <w:sz w:val="28"/>
          <w:szCs w:val="28"/>
          <w:lang w:val="en-US"/>
        </w:rPr>
      </w:pPr>
    </w:p>
    <w:p w:rsidR="002900C7" w:rsidRDefault="002900C7" w:rsidP="002767EE">
      <w:pPr>
        <w:pStyle w:val="a3"/>
        <w:ind w:left="1080"/>
        <w:rPr>
          <w:b/>
          <w:sz w:val="28"/>
          <w:szCs w:val="28"/>
          <w:lang w:val="en-US"/>
        </w:rPr>
      </w:pPr>
    </w:p>
    <w:p w:rsidR="002767EE" w:rsidRPr="002767EE" w:rsidRDefault="002767EE" w:rsidP="002767EE">
      <w:pPr>
        <w:pStyle w:val="a3"/>
        <w:ind w:left="1080"/>
        <w:rPr>
          <w:b/>
          <w:lang w:val="en-US"/>
        </w:rPr>
      </w:pPr>
      <w:bookmarkStart w:id="0" w:name="_GoBack"/>
      <w:bookmarkEnd w:id="0"/>
    </w:p>
    <w:p w:rsidR="002767EE" w:rsidRPr="002767EE" w:rsidRDefault="002767EE" w:rsidP="002767EE">
      <w:pPr>
        <w:pStyle w:val="a3"/>
        <w:numPr>
          <w:ilvl w:val="0"/>
          <w:numId w:val="5"/>
        </w:numPr>
      </w:pPr>
      <w:r w:rsidRPr="002767EE">
        <w:rPr>
          <w:lang w:val="az-Latn-AZ"/>
        </w:rPr>
        <w:t>Role of the treasury department</w:t>
      </w:r>
    </w:p>
    <w:p w:rsidR="002767EE" w:rsidRPr="002767EE" w:rsidRDefault="002767EE" w:rsidP="002767EE">
      <w:pPr>
        <w:pStyle w:val="a3"/>
        <w:numPr>
          <w:ilvl w:val="0"/>
          <w:numId w:val="5"/>
        </w:numPr>
      </w:pPr>
      <w:r w:rsidRPr="002767EE">
        <w:rPr>
          <w:lang w:val="az-Latn-AZ"/>
        </w:rPr>
        <w:t>Treasury controls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az-Latn-AZ"/>
        </w:rPr>
        <w:t xml:space="preserve">Treasury job description and treasury compensation </w:t>
      </w:r>
    </w:p>
    <w:p w:rsidR="002767EE" w:rsidRPr="002767EE" w:rsidRDefault="002767EE" w:rsidP="002767EE">
      <w:pPr>
        <w:pStyle w:val="a3"/>
        <w:numPr>
          <w:ilvl w:val="0"/>
          <w:numId w:val="5"/>
        </w:numPr>
      </w:pPr>
      <w:r w:rsidRPr="002767EE">
        <w:rPr>
          <w:lang w:val="az-Latn-AZ"/>
        </w:rPr>
        <w:t>Treasury centralization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az-Latn-AZ"/>
        </w:rPr>
        <w:t>Treasury and banks. Relationship bank relations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az-Latn-AZ"/>
        </w:rPr>
        <w:t>Bank account analysis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Bank account management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Loan covenants</w:t>
      </w:r>
    </w:p>
    <w:p w:rsidR="002767EE" w:rsidRPr="002767EE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</w:t>
      </w:r>
      <w:r w:rsidR="002767EE" w:rsidRPr="002767EE">
        <w:rPr>
          <w:lang w:val="en-US"/>
        </w:rPr>
        <w:t>oan collateral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Treasury outsourcing 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Treasury metrics: Earnings Rate on Invested Funds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Treasury metrics: Borrowing Base Usage Percentage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Other metrics 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Check Payments. Mechanics of a Check Payment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Investing Float - Related Funds. Value dating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Check Payments through a Lockbox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Remote Deposit Capture. Remote Disbursement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WIRE TRANSFERS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Ach payments. Ach debits and ach credits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Global ach payment. Letter of credit.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Procurement cards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Advantages and disadvantages of cash transfer methods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Controls for check payments and remote deposit capture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Controls for electronic payments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Controls for letter of credit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Controls for procurement cards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Cash forecasting model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</w:t>
      </w:r>
      <w:r w:rsidR="002767EE" w:rsidRPr="002767EE">
        <w:rPr>
          <w:lang w:val="en-US"/>
        </w:rPr>
        <w:t>nformatio</w:t>
      </w:r>
      <w:r>
        <w:rPr>
          <w:lang w:val="en-US"/>
        </w:rPr>
        <w:t>n sources for the cash forecast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Measuring of cash forecasting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Cash forecasting automation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Bullwhip effect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Business cycle forecasting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Cash forecasting controls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Cash forecasting policies and procedure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Benefits of cash concentration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 Cash concentration strategies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Pooling concepts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Physical sweeping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Notional polling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Comparison of account sweeping and notional polling</w:t>
      </w:r>
    </w:p>
    <w:p w:rsidR="009D2086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lastRenderedPageBreak/>
        <w:t>Non-pooling situation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Bank overlay structure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Cash concentration policies</w:t>
      </w:r>
    </w:p>
    <w:p w:rsidR="002767EE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Cash concentration procedures</w:t>
      </w:r>
    </w:p>
    <w:p w:rsidR="009D2086" w:rsidRPr="009D2086" w:rsidRDefault="009D2086" w:rsidP="009D2086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Cash concentration </w:t>
      </w:r>
      <w:r w:rsidRPr="002767EE">
        <w:rPr>
          <w:lang w:val="en-US"/>
        </w:rPr>
        <w:t>controls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Working capital variability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 Credit management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 Receivable management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Inventory management</w:t>
      </w:r>
    </w:p>
    <w:p w:rsidR="002767EE" w:rsidRPr="002767EE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</w:t>
      </w:r>
      <w:r w:rsidR="002767EE" w:rsidRPr="002767EE">
        <w:rPr>
          <w:lang w:val="en-US"/>
        </w:rPr>
        <w:t>nventory purchasing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Inventory receiving and storage</w:t>
      </w:r>
    </w:p>
    <w:p w:rsidR="009D2086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 xml:space="preserve"> Product</w:t>
      </w:r>
      <w:r w:rsidR="009D2086">
        <w:rPr>
          <w:lang w:val="en-US"/>
        </w:rPr>
        <w:t>ion issues impacting inventory</w:t>
      </w:r>
    </w:p>
    <w:p w:rsidR="002767EE" w:rsidRPr="002767EE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İnventory disposition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The bill of materials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P</w:t>
      </w:r>
      <w:r w:rsidR="002767EE" w:rsidRPr="002767EE">
        <w:rPr>
          <w:lang w:val="en-US"/>
        </w:rPr>
        <w:t>roduct des</w:t>
      </w:r>
      <w:r>
        <w:rPr>
          <w:lang w:val="en-US"/>
        </w:rPr>
        <w:t>ign</w:t>
      </w:r>
    </w:p>
    <w:p w:rsidR="002767EE" w:rsidRPr="002767EE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  <w:r w:rsidR="002767EE" w:rsidRPr="002767EE">
        <w:rPr>
          <w:lang w:val="en-US"/>
        </w:rPr>
        <w:t>ustomer service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Payables management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payment terms, processing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Intercompany netting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supply chain financing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Average receivable collection period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Inventory turnover</w:t>
      </w:r>
    </w:p>
    <w:p w:rsidR="002767EE" w:rsidRP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Accounts payable days</w:t>
      </w:r>
    </w:p>
    <w:p w:rsid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 w:rsidRPr="002767EE">
        <w:rPr>
          <w:lang w:val="en-US"/>
        </w:rPr>
        <w:t>Days of working capital</w:t>
      </w:r>
    </w:p>
    <w:p w:rsid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Benefits of setting budgets</w:t>
      </w:r>
    </w:p>
    <w:p w:rsid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Key features of budgeting</w:t>
      </w:r>
    </w:p>
    <w:p w:rsidR="009D2086" w:rsidRDefault="002767EE" w:rsidP="009D2086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Setting budget levels</w:t>
      </w:r>
      <w:r w:rsidR="009D2086">
        <w:rPr>
          <w:lang w:val="en-US"/>
        </w:rPr>
        <w:t xml:space="preserve">. </w:t>
      </w:r>
    </w:p>
    <w:p w:rsidR="002767EE" w:rsidRPr="009D2086" w:rsidRDefault="002767EE" w:rsidP="009D2086">
      <w:pPr>
        <w:pStyle w:val="a3"/>
        <w:numPr>
          <w:ilvl w:val="0"/>
          <w:numId w:val="5"/>
        </w:numPr>
        <w:rPr>
          <w:lang w:val="en-US"/>
        </w:rPr>
      </w:pPr>
      <w:r w:rsidRPr="009D2086">
        <w:rPr>
          <w:lang w:val="en-US"/>
        </w:rPr>
        <w:t>Potential limitations of budgets</w:t>
      </w:r>
    </w:p>
    <w:p w:rsid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Budget control- variance analysis</w:t>
      </w:r>
    </w:p>
    <w:p w:rsidR="002767EE" w:rsidRDefault="002767EE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Budgetary control and strategic planning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İnvestment criteria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İnvestment options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İnvestment strategies</w:t>
      </w:r>
    </w:p>
    <w:p w:rsidR="009D2086" w:rsidRDefault="009D2086" w:rsidP="002767E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İnvestment reporting</w:t>
      </w:r>
    </w:p>
    <w:p w:rsidR="002767EE" w:rsidRPr="002767EE" w:rsidRDefault="009D2086" w:rsidP="009D2086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Accounting for investment</w:t>
      </w:r>
    </w:p>
    <w:p w:rsidR="00A8513A" w:rsidRDefault="00A8513A" w:rsidP="00A8513A">
      <w:pPr>
        <w:pStyle w:val="a3"/>
        <w:ind w:left="1080"/>
        <w:jc w:val="center"/>
        <w:rPr>
          <w:b/>
          <w:sz w:val="28"/>
          <w:szCs w:val="28"/>
          <w:lang w:val="en-US"/>
        </w:rPr>
      </w:pPr>
    </w:p>
    <w:p w:rsidR="00A8513A" w:rsidRPr="00A8513A" w:rsidRDefault="00A8513A" w:rsidP="00A8513A">
      <w:pPr>
        <w:pStyle w:val="a3"/>
        <w:ind w:left="1080"/>
        <w:rPr>
          <w:b/>
          <w:sz w:val="28"/>
          <w:szCs w:val="28"/>
          <w:lang w:val="en-US"/>
        </w:rPr>
      </w:pPr>
    </w:p>
    <w:sectPr w:rsidR="00A8513A" w:rsidRPr="00A8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2B47"/>
    <w:multiLevelType w:val="hybridMultilevel"/>
    <w:tmpl w:val="08506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7EB8"/>
    <w:multiLevelType w:val="hybridMultilevel"/>
    <w:tmpl w:val="4B0A2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530B"/>
    <w:multiLevelType w:val="hybridMultilevel"/>
    <w:tmpl w:val="B9E4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259"/>
    <w:multiLevelType w:val="hybridMultilevel"/>
    <w:tmpl w:val="4B0A2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4897"/>
    <w:multiLevelType w:val="hybridMultilevel"/>
    <w:tmpl w:val="CDA02D36"/>
    <w:lvl w:ilvl="0" w:tplc="C5B08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82826"/>
    <w:multiLevelType w:val="hybridMultilevel"/>
    <w:tmpl w:val="E00A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B0"/>
    <w:rsid w:val="002767EE"/>
    <w:rsid w:val="002900C7"/>
    <w:rsid w:val="002C4FDC"/>
    <w:rsid w:val="002E2940"/>
    <w:rsid w:val="004E7834"/>
    <w:rsid w:val="00706CB0"/>
    <w:rsid w:val="009C76F1"/>
    <w:rsid w:val="009D2086"/>
    <w:rsid w:val="00A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A64DD-4B61-46B1-BD71-C4D034A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F1"/>
    <w:pPr>
      <w:ind w:left="720"/>
      <w:contextualSpacing/>
    </w:pPr>
  </w:style>
  <w:style w:type="table" w:styleId="a4">
    <w:name w:val="Table Grid"/>
    <w:basedOn w:val="a1"/>
    <w:uiPriority w:val="59"/>
    <w:rsid w:val="00A8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Cale</cp:lastModifiedBy>
  <cp:revision>2</cp:revision>
  <dcterms:created xsi:type="dcterms:W3CDTF">2019-12-20T19:28:00Z</dcterms:created>
  <dcterms:modified xsi:type="dcterms:W3CDTF">2019-12-20T19:28:00Z</dcterms:modified>
</cp:coreProperties>
</file>