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8AA" w:rsidRDefault="002A48AA" w:rsidP="00B86573">
      <w:r>
        <w:t>Banking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Financial system and funds intermediation channels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Levels of bank regulation and its’ objectives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Instruments and requirements in banks’ regulation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Banks’ classifications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Non-bank financial institutions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Central Banks and their functions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Central banks history (worldwide)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History of Central Bank of Azerbaijan Republic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Goals, objectives and functions of CBAR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Monetary policy, types, and tools for its implementation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Limitations of monetary policy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Commercial Banks, their functions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Difference of Commercial and Investment banks, non-bank financial institutions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Principles of commercial banks activities’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The organizational structure of a commercial bank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Bank capital and its’ structure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Functions of bank capital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Elements of Tier 1 and Tier 2 Capital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Calculation of Risk Weighted Assets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Capital Adequacy Ratio, calculation of CAR and its’ required levels in Azerbaijan banks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Balance sheet structure of banks. Elements of assets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Balance sheet structure of banks. Elements of liabilities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Centralized and de-centralized funding models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What Is a Deposit Multiplier?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Funding and liquidity management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Bank operations (active and passive)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Loan classification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Methods of bank lending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Collateral and it’s types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 xml:space="preserve">Assets classification from risk perspective (FMSA statutory perspective)  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Development and maintenance of an effective loan policy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Economic importance of lending and assessment of credit requirements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Loan issuing rules and provisions in Azerbaijani banking system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Internal Banking Rules for Loans, CBAR limitations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Credit scoring system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Investment banks and their history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Investment banks products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Investment Potential and Securities Classification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Bank's investment activities and policies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Risks associated with investments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Factoring-nature, genesis, functions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Types of factoring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Factoring process, limitations and advantages of factoring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lastRenderedPageBreak/>
        <w:t>Leasing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Trust operations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Forfaiting and it’s difference from factoring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International and local payment systems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Cashless settlements and money transfers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Bank accounts (IBAN)</w:t>
      </w:r>
    </w:p>
    <w:p w:rsidR="00E57D44" w:rsidRDefault="00C93E78" w:rsidP="00B86573">
      <w:pPr>
        <w:pStyle w:val="a3"/>
        <w:numPr>
          <w:ilvl w:val="0"/>
          <w:numId w:val="1"/>
        </w:numPr>
      </w:pPr>
      <w:r>
        <w:t>Cash operations of the bank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Marketing and its fundamental principles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Eight states of demand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Marketing 5Ps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Marketing orientations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CRM and it’s stages in banking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Management, its nature, management areas in banking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ALM and Risk management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Human Resources management in banking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Corporate governance and its principles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Performance management (exercise 1):</w:t>
      </w:r>
    </w:p>
    <w:p w:rsidR="00C93E78" w:rsidRDefault="00C93E78" w:rsidP="00C93E78">
      <w:r>
        <w:t>Calculate ROE of the bank and make Dupont analysis of ROE.</w:t>
      </w:r>
    </w:p>
    <w:p w:rsidR="00C93E78" w:rsidRDefault="00C93E78" w:rsidP="00B86573">
      <w:pPr>
        <w:pStyle w:val="a3"/>
        <w:numPr>
          <w:ilvl w:val="0"/>
          <w:numId w:val="1"/>
        </w:numPr>
      </w:pPr>
      <w:r>
        <w:t>Performance management (exercise 2):</w:t>
      </w:r>
    </w:p>
    <w:p w:rsidR="00C93E78" w:rsidRDefault="00C93E78" w:rsidP="00C93E78">
      <w:r>
        <w:t>Calculate Assets Interest Yield, Break Even Yield and Net Interest Margin.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Performance management (exercise 3):</w:t>
      </w:r>
    </w:p>
    <w:p w:rsidR="00C93E78" w:rsidRDefault="00C93E78" w:rsidP="00C93E78">
      <w:r>
        <w:t>Calculate Risk Adjusted Margin, Overhead Burden Ratio and Productivity Ratio.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Credit risk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Measuring credit risk (exercise)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Operational risk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Marketing risk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VAR concept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Bank regulation, objectives and regulation process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Basel committee formation, Basel 1, 2 and 3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Basel II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Basel III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Local Prudential Limits – Capital adequacy, single borrowers, related parties, investments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Local Prudential Limits – Liquidity, Required reserves, Foreign Currency Transfers</w:t>
      </w:r>
    </w:p>
    <w:p w:rsidR="00C93E78" w:rsidRDefault="00C93E78" w:rsidP="007A1730">
      <w:pPr>
        <w:pStyle w:val="a3"/>
        <w:numPr>
          <w:ilvl w:val="0"/>
          <w:numId w:val="1"/>
        </w:numPr>
      </w:pPr>
      <w:r>
        <w:t>Why do banks fail – reasons explained</w:t>
      </w:r>
    </w:p>
    <w:p w:rsidR="00C32AAC" w:rsidRDefault="00C93E78" w:rsidP="007A1730">
      <w:pPr>
        <w:pStyle w:val="a3"/>
        <w:numPr>
          <w:ilvl w:val="0"/>
          <w:numId w:val="1"/>
        </w:numPr>
      </w:pPr>
      <w:r>
        <w:t>The determinants of bank failure</w:t>
      </w:r>
      <w:bookmarkStart w:id="0" w:name="_GoBack"/>
      <w:bookmarkEnd w:id="0"/>
    </w:p>
    <w:sectPr w:rsidR="00C32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1089"/>
    <w:multiLevelType w:val="hybridMultilevel"/>
    <w:tmpl w:val="F43A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8"/>
    <w:rsid w:val="002A48AA"/>
    <w:rsid w:val="007A1730"/>
    <w:rsid w:val="007F5C90"/>
    <w:rsid w:val="00B86573"/>
    <w:rsid w:val="00C32AAC"/>
    <w:rsid w:val="00C93E78"/>
    <w:rsid w:val="00E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1E72-1A78-4176-89C8-9562592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44"/>
    <w:rPr>
      <w:rFonts w:ascii="Segoe UI" w:hAnsi="Segoe UI" w:cs="Segoe UI"/>
      <w:sz w:val="18"/>
      <w:szCs w:val="1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Həsənov Həsən</dc:creator>
  <cp:keywords/>
  <dc:description/>
  <cp:lastModifiedBy>admin</cp:lastModifiedBy>
  <cp:revision>5</cp:revision>
  <cp:lastPrinted>2019-12-24T12:24:00Z</cp:lastPrinted>
  <dcterms:created xsi:type="dcterms:W3CDTF">2019-12-23T11:37:00Z</dcterms:created>
  <dcterms:modified xsi:type="dcterms:W3CDTF">2019-12-24T12:25:00Z</dcterms:modified>
</cp:coreProperties>
</file>