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4" w:rsidRPr="00E85504" w:rsidRDefault="00E85504" w:rsidP="00E85504">
      <w:pPr>
        <w:rPr>
          <w:rFonts w:ascii="Times New Roman" w:hAnsi="Times New Roman" w:cs="Times New Roman"/>
          <w:b/>
          <w:sz w:val="28"/>
          <w:szCs w:val="24"/>
          <w:lang w:val="en-US"/>
        </w:rPr>
      </w:pPr>
      <w:r w:rsidRPr="00E85504">
        <w:rPr>
          <w:rFonts w:ascii="Times New Roman" w:hAnsi="Times New Roman" w:cs="Times New Roman"/>
          <w:b/>
          <w:sz w:val="28"/>
          <w:szCs w:val="24"/>
          <w:lang w:val="en-US"/>
        </w:rPr>
        <w:t>FINAL EXAM</w:t>
      </w:r>
      <w:r>
        <w:rPr>
          <w:rFonts w:ascii="Times New Roman" w:hAnsi="Times New Roman" w:cs="Times New Roman"/>
          <w:b/>
          <w:sz w:val="28"/>
          <w:szCs w:val="24"/>
          <w:lang w:val="en-US"/>
        </w:rPr>
        <w:t>:</w:t>
      </w:r>
      <w:r w:rsidRPr="00E85504">
        <w:rPr>
          <w:rFonts w:ascii="Times New Roman" w:hAnsi="Times New Roman" w:cs="Times New Roman"/>
          <w:b/>
          <w:sz w:val="28"/>
          <w:szCs w:val="24"/>
          <w:lang w:val="en-US"/>
        </w:rPr>
        <w:t xml:space="preserve"> </w:t>
      </w:r>
      <w:r w:rsidRPr="00E85504">
        <w:rPr>
          <w:rFonts w:ascii="Times New Roman" w:hAnsi="Times New Roman" w:cs="Times New Roman"/>
          <w:sz w:val="28"/>
          <w:szCs w:val="24"/>
          <w:lang w:val="en-US"/>
        </w:rPr>
        <w:t>QUESTIONS (75)</w:t>
      </w:r>
    </w:p>
    <w:p w:rsidR="00E85504" w:rsidRPr="00E85504" w:rsidRDefault="00E85504" w:rsidP="00E85504">
      <w:pPr>
        <w:rPr>
          <w:rFonts w:ascii="Times New Roman" w:hAnsi="Times New Roman" w:cs="Times New Roman"/>
          <w:sz w:val="28"/>
          <w:szCs w:val="24"/>
          <w:lang w:val="en-US"/>
        </w:rPr>
      </w:pPr>
      <w:r w:rsidRPr="00E85504">
        <w:rPr>
          <w:rFonts w:ascii="Times New Roman" w:hAnsi="Times New Roman" w:cs="Times New Roman"/>
          <w:b/>
          <w:sz w:val="28"/>
          <w:szCs w:val="24"/>
          <w:lang w:val="en-US"/>
        </w:rPr>
        <w:t>Name:</w:t>
      </w:r>
      <w:r w:rsidRPr="00E85504">
        <w:rPr>
          <w:rFonts w:ascii="Times New Roman" w:hAnsi="Times New Roman" w:cs="Times New Roman"/>
          <w:sz w:val="28"/>
          <w:szCs w:val="24"/>
          <w:lang w:val="en-US"/>
        </w:rPr>
        <w:t xml:space="preserve"> </w:t>
      </w:r>
      <w:proofErr w:type="spellStart"/>
      <w:r w:rsidRPr="00E85504">
        <w:rPr>
          <w:rFonts w:ascii="Times New Roman" w:hAnsi="Times New Roman" w:cs="Times New Roman"/>
          <w:sz w:val="28"/>
          <w:szCs w:val="24"/>
          <w:lang w:val="en-US"/>
        </w:rPr>
        <w:t>Toghrul</w:t>
      </w:r>
      <w:proofErr w:type="spellEnd"/>
      <w:r w:rsidRPr="00E85504">
        <w:rPr>
          <w:rFonts w:ascii="Times New Roman" w:hAnsi="Times New Roman" w:cs="Times New Roman"/>
          <w:sz w:val="28"/>
          <w:szCs w:val="24"/>
          <w:lang w:val="en-US"/>
        </w:rPr>
        <w:t xml:space="preserve"> GULIYEV</w:t>
      </w:r>
    </w:p>
    <w:p w:rsidR="00E85504" w:rsidRPr="00E85504" w:rsidRDefault="00E85504" w:rsidP="00E85504">
      <w:pPr>
        <w:rPr>
          <w:rFonts w:ascii="Times New Roman" w:hAnsi="Times New Roman" w:cs="Times New Roman"/>
          <w:sz w:val="28"/>
          <w:szCs w:val="24"/>
          <w:lang w:val="en-US"/>
        </w:rPr>
      </w:pPr>
      <w:r w:rsidRPr="00E85504">
        <w:rPr>
          <w:rFonts w:ascii="Times New Roman" w:hAnsi="Times New Roman" w:cs="Times New Roman"/>
          <w:b/>
          <w:sz w:val="28"/>
          <w:szCs w:val="24"/>
          <w:lang w:val="en-US"/>
        </w:rPr>
        <w:t>Course:</w:t>
      </w:r>
      <w:r w:rsidRPr="00E85504">
        <w:rPr>
          <w:rFonts w:ascii="Times New Roman" w:hAnsi="Times New Roman" w:cs="Times New Roman"/>
          <w:sz w:val="28"/>
          <w:szCs w:val="24"/>
          <w:lang w:val="en-US"/>
        </w:rPr>
        <w:t xml:space="preserve"> Economy of Azerbaijan</w:t>
      </w:r>
    </w:p>
    <w:p w:rsidR="00E85504" w:rsidRPr="00E85504" w:rsidRDefault="00E85504" w:rsidP="00E85504">
      <w:pPr>
        <w:rPr>
          <w:rFonts w:ascii="Times New Roman" w:hAnsi="Times New Roman" w:cs="Times New Roman"/>
          <w:sz w:val="28"/>
          <w:szCs w:val="24"/>
          <w:lang w:val="en-US"/>
        </w:rPr>
      </w:pPr>
      <w:r w:rsidRPr="00E85504">
        <w:rPr>
          <w:rFonts w:ascii="Times New Roman" w:hAnsi="Times New Roman" w:cs="Times New Roman"/>
          <w:b/>
          <w:sz w:val="28"/>
          <w:szCs w:val="24"/>
          <w:lang w:val="en-US"/>
        </w:rPr>
        <w:t>Group number:</w:t>
      </w:r>
      <w:r w:rsidRPr="00E85504">
        <w:rPr>
          <w:rFonts w:ascii="Times New Roman" w:hAnsi="Times New Roman" w:cs="Times New Roman"/>
          <w:sz w:val="28"/>
          <w:szCs w:val="24"/>
          <w:lang w:val="en-US"/>
        </w:rPr>
        <w:t xml:space="preserve"> 1081</w:t>
      </w:r>
    </w:p>
    <w:p w:rsidR="00E85504" w:rsidRPr="00F912B7" w:rsidRDefault="00E85504" w:rsidP="00E85504">
      <w:pPr>
        <w:spacing w:line="240" w:lineRule="auto"/>
        <w:rPr>
          <w:rFonts w:ascii="Times New Roman" w:hAnsi="Times New Roman" w:cs="Times New Roman"/>
          <w:b/>
          <w:bCs/>
          <w:sz w:val="24"/>
          <w:szCs w:val="24"/>
          <w:lang w:val="en-US"/>
        </w:rPr>
      </w:pPr>
    </w:p>
    <w:p w:rsidR="00E85504" w:rsidRDefault="00E85504" w:rsidP="00E85504">
      <w:pPr>
        <w:spacing w:after="0" w:line="360" w:lineRule="auto"/>
        <w:jc w:val="both"/>
        <w:rPr>
          <w:rFonts w:ascii="Times New Roman" w:hAnsi="Times New Roman" w:cs="Times New Roman"/>
          <w:bCs/>
          <w:sz w:val="24"/>
          <w:szCs w:val="24"/>
          <w:lang w:val="en-US"/>
        </w:rPr>
      </w:pP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Second period after the independence (1995-2003): search of stability period in Azerbaijan</w:t>
      </w:r>
      <w:r w:rsidR="004A3321">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The most important economic problems in Azerbaijan inherited from the Soviet Union in the early years of its independence</w:t>
      </w:r>
      <w:r w:rsidR="004A3321">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First period after the independence (1991-1994): crisis period in Azerbaijan</w:t>
      </w:r>
      <w:r w:rsidR="004A3321">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Categorize main problems of the first period after the independence (1991-1994)</w:t>
      </w:r>
      <w:r w:rsidR="004A3321">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Major reforms and results in the first period after the independence (1991-1994)</w:t>
      </w:r>
      <w:r w:rsidR="004A3321">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Third period after the independence (from 2003): economic development period in Azerbaijan</w:t>
      </w:r>
      <w:r w:rsidR="004A3321">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The role of energy sector in the second period after the independence (1995-2003)</w:t>
      </w:r>
      <w:r w:rsidR="004A3321">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The role of state programs to reach main objectives of the third period after the independence (from 2003)</w:t>
      </w:r>
      <w:r w:rsidR="004A3321">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Main improvements in the second period after the independence (1995-2003)</w:t>
      </w:r>
      <w:r w:rsidR="004A3321">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Major reforms and results in the second period after the independence (1995-2003)</w:t>
      </w:r>
      <w:r w:rsidR="004A3321">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Azerbaijan economy before the independence</w:t>
      </w:r>
      <w:r w:rsidR="004A3321">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Achievements certifying the completion of transition to the market economy in Azerbaijan (Transition concept 1997)</w:t>
      </w:r>
      <w:r>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Azerbaijan’s achievements in transition to the market economy by 6 transition categories</w:t>
      </w:r>
      <w:r>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Transition qualities for building a well-functioning market economy (Transition concept 2016). Deliberate each transition quality</w:t>
      </w:r>
      <w:r>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lastRenderedPageBreak/>
        <w:t>Endeavors towards achieving a desirable market economy in Azerbaijan (by each transition quality). Aims and objectives</w:t>
      </w:r>
      <w:r>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 xml:space="preserve">Achievements in building well-governed (transition </w:t>
      </w:r>
      <w:proofErr w:type="spellStart"/>
      <w:r w:rsidRPr="00E85504">
        <w:rPr>
          <w:rFonts w:ascii="Times New Roman" w:hAnsi="Times New Roman" w:cs="Times New Roman"/>
          <w:bCs/>
          <w:sz w:val="28"/>
          <w:szCs w:val="28"/>
          <w:lang w:val="en-US"/>
        </w:rPr>
        <w:t>qualitiy</w:t>
      </w:r>
      <w:proofErr w:type="spellEnd"/>
      <w:r w:rsidRPr="00E85504">
        <w:rPr>
          <w:rFonts w:ascii="Times New Roman" w:hAnsi="Times New Roman" w:cs="Times New Roman"/>
          <w:bCs/>
          <w:sz w:val="28"/>
          <w:szCs w:val="28"/>
          <w:lang w:val="en-US"/>
        </w:rPr>
        <w:t>) market economy in Azerbaijan</w:t>
      </w:r>
      <w:r>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Achievements in building integrated (transition quality) market economy in Azerbaijan</w:t>
      </w:r>
      <w:r>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Inflation trend in Azerbaijan</w:t>
      </w:r>
      <w:r>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The reasons behind hyperinflation in 1991-1994</w:t>
      </w:r>
      <w:r>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The reasons behind double-digit inflation in 2007-2008</w:t>
      </w:r>
      <w:r>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GDP by economic sectors in 1995-2016. Non-oil sector contribution to GDP</w:t>
      </w:r>
      <w:r>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System of National Accounts of Azerbaijan. Expenditure method for GDP calculation</w:t>
      </w:r>
      <w:r>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Differences between the GDP deflator</w:t>
      </w:r>
      <w:r>
        <w:rPr>
          <w:rFonts w:ascii="Times New Roman" w:hAnsi="Times New Roman" w:cs="Times New Roman"/>
          <w:bCs/>
          <w:sz w:val="28"/>
          <w:szCs w:val="28"/>
          <w:lang w:val="en-US"/>
        </w:rPr>
        <w:t xml:space="preserve"> and Consumer Price Index (CPI).</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GDP annual growth rates in Azerbaijan in 1995-2016</w:t>
      </w:r>
      <w:r>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List top 6 factors that could have an impact on inflation in Azerbaijan</w:t>
      </w:r>
      <w:r>
        <w:rPr>
          <w:rFonts w:ascii="Times New Roman" w:hAnsi="Times New Roman" w:cs="Times New Roman"/>
          <w:bCs/>
          <w:sz w:val="28"/>
          <w:szCs w:val="28"/>
          <w:lang w:val="en-US"/>
        </w:rPr>
        <w:t>.</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Changes in structure of employment by sectors of economy in Azerbaijan.</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Privatization practice in Azerbaijan.</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New privatization phase in Azerbaijan. Current state of PPP (</w:t>
      </w:r>
      <w:r w:rsidRPr="00E85504">
        <w:rPr>
          <w:rFonts w:ascii="Times New Roman" w:hAnsi="Times New Roman" w:cs="Times New Roman"/>
          <w:sz w:val="28"/>
          <w:szCs w:val="28"/>
          <w:lang w:val="en-US"/>
        </w:rPr>
        <w:t>public-private partnership)</w:t>
      </w:r>
      <w:r w:rsidRPr="00E85504">
        <w:rPr>
          <w:rFonts w:ascii="Times New Roman" w:hAnsi="Times New Roman" w:cs="Times New Roman"/>
          <w:bCs/>
          <w:sz w:val="28"/>
          <w:szCs w:val="28"/>
          <w:lang w:val="en-US"/>
        </w:rPr>
        <w:t xml:space="preserve"> application in Azerbaijan.</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Realization of Employment Strategy 2006-2015 and its contribution to labor market development in Azerbaijan.</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Foreign investments in Azerbaijan economy in 2005-2015 (total foreign investments – FDI, portfolio, financial credits and other investments, FDI in oil and non-oil sectors).</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Foreign Direct Investments (FDI) inflow to Azerbaijan by countries and by non-oil sectors of economy during 2005-2015.</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Classify f</w:t>
      </w:r>
      <w:hyperlink r:id="rId6" w:history="1">
        <w:r w:rsidRPr="00E85504">
          <w:rPr>
            <w:rFonts w:ascii="Times New Roman" w:hAnsi="Times New Roman" w:cs="Times New Roman"/>
            <w:bCs/>
            <w:sz w:val="28"/>
            <w:szCs w:val="28"/>
            <w:lang w:val="en-US"/>
          </w:rPr>
          <w:t>actors (political, macroeconomic, natural and so on) investors look into</w:t>
        </w:r>
      </w:hyperlink>
      <w:r w:rsidRPr="00E85504">
        <w:rPr>
          <w:rFonts w:ascii="Times New Roman" w:hAnsi="Times New Roman" w:cs="Times New Roman"/>
          <w:bCs/>
          <w:sz w:val="28"/>
          <w:szCs w:val="28"/>
          <w:lang w:val="en-US"/>
        </w:rPr>
        <w:t xml:space="preserve"> before making investment decision in a country.</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lastRenderedPageBreak/>
        <w:t>What improvements related to macroeconomic stability and financial sector should be done in Azerbaijan to attract more Foreign Direct Investments (FDI).</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 xml:space="preserve">What improvements related to Business and investment environment should be done in Azerbaijan to attract more Foreign Direct Investments (FDI). </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Planned and established industrial parks and industrial zones for FDI attraction in Azerbaijan. The role of introduced Investment Incentive Document to attract more Foreign Direct Investments (FDI) in Azerbaijan.</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Delineate three main location-specific determinants (Market-seeking, Efficiency-seeking, and Resource-seeking investments) of a country’s attractiveness for FDI.</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Delineate 3 types of advantages or preconditions (Ownership, Localization and Internalization advantages) influencing investor’s decision to invest in a foreign country.</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Foreign investments in oil and natural gas sectors in Azerbaijan.</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 xml:space="preserve">Delineate </w:t>
      </w:r>
      <w:proofErr w:type="spellStart"/>
      <w:r w:rsidRPr="00E85504">
        <w:rPr>
          <w:rFonts w:ascii="Times New Roman" w:hAnsi="Times New Roman" w:cs="Times New Roman"/>
          <w:bCs/>
          <w:sz w:val="28"/>
          <w:szCs w:val="28"/>
          <w:lang w:val="en-US"/>
        </w:rPr>
        <w:t>Absheron</w:t>
      </w:r>
      <w:proofErr w:type="spellEnd"/>
      <w:r w:rsidRPr="00E85504">
        <w:rPr>
          <w:rFonts w:ascii="Times New Roman" w:hAnsi="Times New Roman" w:cs="Times New Roman"/>
          <w:bCs/>
          <w:sz w:val="28"/>
          <w:szCs w:val="28"/>
          <w:lang w:val="en-US"/>
        </w:rPr>
        <w:t xml:space="preserve"> and </w:t>
      </w:r>
      <w:proofErr w:type="spellStart"/>
      <w:r w:rsidRPr="00E85504">
        <w:rPr>
          <w:rFonts w:ascii="Times New Roman" w:hAnsi="Times New Roman" w:cs="Times New Roman"/>
          <w:bCs/>
          <w:sz w:val="28"/>
          <w:szCs w:val="28"/>
          <w:lang w:val="en-US"/>
        </w:rPr>
        <w:t>Shirvan</w:t>
      </w:r>
      <w:proofErr w:type="spellEnd"/>
      <w:r w:rsidRPr="00E85504">
        <w:rPr>
          <w:rFonts w:ascii="Times New Roman" w:hAnsi="Times New Roman" w:cs="Times New Roman"/>
          <w:bCs/>
          <w:sz w:val="28"/>
          <w:szCs w:val="28"/>
          <w:lang w:val="en-US"/>
        </w:rPr>
        <w:t xml:space="preserve"> economical regions.</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Delineate Guba-</w:t>
      </w:r>
      <w:proofErr w:type="spellStart"/>
      <w:r w:rsidRPr="00E85504">
        <w:rPr>
          <w:rFonts w:ascii="Times New Roman" w:hAnsi="Times New Roman" w:cs="Times New Roman"/>
          <w:bCs/>
          <w:sz w:val="28"/>
          <w:szCs w:val="28"/>
          <w:lang w:val="en-US"/>
        </w:rPr>
        <w:t>Khachmaz</w:t>
      </w:r>
      <w:proofErr w:type="spellEnd"/>
      <w:r w:rsidRPr="00E85504">
        <w:rPr>
          <w:rFonts w:ascii="Times New Roman" w:hAnsi="Times New Roman" w:cs="Times New Roman"/>
          <w:bCs/>
          <w:sz w:val="28"/>
          <w:szCs w:val="28"/>
          <w:lang w:val="en-US"/>
        </w:rPr>
        <w:t xml:space="preserve"> and </w:t>
      </w:r>
      <w:proofErr w:type="spellStart"/>
      <w:r w:rsidRPr="00E85504">
        <w:rPr>
          <w:rFonts w:ascii="Times New Roman" w:hAnsi="Times New Roman" w:cs="Times New Roman"/>
          <w:bCs/>
          <w:sz w:val="28"/>
          <w:szCs w:val="28"/>
          <w:lang w:val="en-US"/>
        </w:rPr>
        <w:t>Lankaran</w:t>
      </w:r>
      <w:proofErr w:type="spellEnd"/>
      <w:r w:rsidRPr="00E85504">
        <w:rPr>
          <w:rFonts w:ascii="Times New Roman" w:hAnsi="Times New Roman" w:cs="Times New Roman"/>
          <w:bCs/>
          <w:sz w:val="28"/>
          <w:szCs w:val="28"/>
          <w:lang w:val="en-US"/>
        </w:rPr>
        <w:t xml:space="preserve"> economical regions.</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 xml:space="preserve">Delineate </w:t>
      </w:r>
      <w:proofErr w:type="spellStart"/>
      <w:r w:rsidRPr="00E85504">
        <w:rPr>
          <w:rFonts w:ascii="Times New Roman" w:hAnsi="Times New Roman" w:cs="Times New Roman"/>
          <w:bCs/>
          <w:sz w:val="28"/>
          <w:szCs w:val="28"/>
          <w:lang w:val="en-US"/>
        </w:rPr>
        <w:t>Nakhchivan</w:t>
      </w:r>
      <w:proofErr w:type="spellEnd"/>
      <w:r w:rsidRPr="00E85504">
        <w:rPr>
          <w:rFonts w:ascii="Times New Roman" w:hAnsi="Times New Roman" w:cs="Times New Roman"/>
          <w:bCs/>
          <w:sz w:val="28"/>
          <w:szCs w:val="28"/>
          <w:lang w:val="en-US"/>
        </w:rPr>
        <w:t xml:space="preserve"> and </w:t>
      </w:r>
      <w:proofErr w:type="spellStart"/>
      <w:r w:rsidRPr="00E85504">
        <w:rPr>
          <w:rFonts w:ascii="Times New Roman" w:hAnsi="Times New Roman" w:cs="Times New Roman"/>
          <w:bCs/>
          <w:sz w:val="28"/>
          <w:szCs w:val="28"/>
          <w:lang w:val="en-US"/>
        </w:rPr>
        <w:t>Shaki-Zagatala</w:t>
      </w:r>
      <w:proofErr w:type="spellEnd"/>
      <w:r w:rsidRPr="00E85504">
        <w:rPr>
          <w:rFonts w:ascii="Times New Roman" w:hAnsi="Times New Roman" w:cs="Times New Roman"/>
          <w:bCs/>
          <w:sz w:val="28"/>
          <w:szCs w:val="28"/>
          <w:lang w:val="en-US"/>
        </w:rPr>
        <w:t xml:space="preserve"> economical regions.</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 xml:space="preserve">Delineate </w:t>
      </w:r>
      <w:proofErr w:type="spellStart"/>
      <w:r w:rsidRPr="00E85504">
        <w:rPr>
          <w:rFonts w:ascii="Times New Roman" w:hAnsi="Times New Roman" w:cs="Times New Roman"/>
          <w:bCs/>
          <w:sz w:val="28"/>
          <w:szCs w:val="28"/>
          <w:lang w:val="en-US"/>
        </w:rPr>
        <w:t>Aran</w:t>
      </w:r>
      <w:proofErr w:type="spellEnd"/>
      <w:r w:rsidRPr="00E85504">
        <w:rPr>
          <w:rFonts w:ascii="Times New Roman" w:hAnsi="Times New Roman" w:cs="Times New Roman"/>
          <w:bCs/>
          <w:sz w:val="28"/>
          <w:szCs w:val="28"/>
          <w:lang w:val="en-US"/>
        </w:rPr>
        <w:t xml:space="preserve"> and Ganja-</w:t>
      </w:r>
      <w:proofErr w:type="spellStart"/>
      <w:r w:rsidRPr="00E85504">
        <w:rPr>
          <w:rFonts w:ascii="Times New Roman" w:hAnsi="Times New Roman" w:cs="Times New Roman"/>
          <w:bCs/>
          <w:sz w:val="28"/>
          <w:szCs w:val="28"/>
          <w:lang w:val="en-US"/>
        </w:rPr>
        <w:t>Gazakh</w:t>
      </w:r>
      <w:proofErr w:type="spellEnd"/>
      <w:r w:rsidRPr="00E85504">
        <w:rPr>
          <w:rFonts w:ascii="Times New Roman" w:hAnsi="Times New Roman" w:cs="Times New Roman"/>
          <w:bCs/>
          <w:sz w:val="28"/>
          <w:szCs w:val="28"/>
          <w:lang w:val="en-US"/>
        </w:rPr>
        <w:t xml:space="preserve"> economical regions.</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The role of state programs on socio-economic development of regions on non-oil sector and regional development in Azerbaijan.</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Reasons behind different import data in Balance of Payment statistics compiled by Central Bank of the Republic of Azerbaijan and data released by the State Statistic Committee.</w:t>
      </w:r>
    </w:p>
    <w:p w:rsidR="00E85504" w:rsidRPr="00E85504" w:rsidRDefault="00E85504" w:rsidP="00E85504">
      <w:pPr>
        <w:pStyle w:val="a3"/>
        <w:spacing w:after="120" w:line="360" w:lineRule="auto"/>
        <w:ind w:left="450"/>
        <w:contextualSpacing w:val="0"/>
        <w:jc w:val="both"/>
        <w:rPr>
          <w:rFonts w:ascii="Times New Roman" w:hAnsi="Times New Roman" w:cs="Times New Roman"/>
          <w:bCs/>
          <w:sz w:val="28"/>
          <w:szCs w:val="28"/>
          <w:lang w:val="en-US"/>
        </w:rPr>
      </w:pPr>
      <w:proofErr w:type="gramStart"/>
      <w:r w:rsidRPr="00E85504">
        <w:rPr>
          <w:rFonts w:ascii="Times New Roman" w:hAnsi="Times New Roman" w:cs="Times New Roman"/>
          <w:bCs/>
          <w:sz w:val="28"/>
          <w:szCs w:val="28"/>
          <w:lang w:val="en-US"/>
        </w:rPr>
        <w:t>Reasons behind different export data of the State Statistical Committee of the Republic of Azerbaijan and data released by the State Customs Committee.</w:t>
      </w:r>
      <w:proofErr w:type="gramEnd"/>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Delineate the sequence of exported products from Azerbaijan by stages of processing (Raw materials; Consumer goods; Intermediate goods; Capital goods) in 2016 along with their corresponding Product Share as percent of total.</w:t>
      </w:r>
    </w:p>
    <w:p w:rsidR="00E85504" w:rsidRPr="00E85504" w:rsidRDefault="00E85504" w:rsidP="00E85504">
      <w:pPr>
        <w:pStyle w:val="a3"/>
        <w:spacing w:after="120" w:line="360" w:lineRule="auto"/>
        <w:ind w:left="450" w:hanging="36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lastRenderedPageBreak/>
        <w:t>Delineate the sequence of imported products into Azerbaijan by stages of processing (Raw materials; Consumer goods; Intermediate goods; Capital goods) in 2016 along with their corresponding Product Share as percent of total.</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Foreign trade of Azerbaijan: existed challenges and objectives for the period 1991-1995.</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Delineate trade policy measures applied in Azerbaijan: import and export quota, tariff quota, VAT application, exemptions from duties and taxes, customs clearance fees</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 xml:space="preserve">As of 22 February 2014, the European Union’s </w:t>
      </w:r>
      <w:hyperlink r:id="rId7" w:history="1">
        <w:proofErr w:type="spellStart"/>
        <w:r w:rsidRPr="00E85504">
          <w:rPr>
            <w:rFonts w:ascii="Times New Roman" w:hAnsi="Times New Roman" w:cs="Times New Roman"/>
            <w:bCs/>
            <w:sz w:val="28"/>
            <w:szCs w:val="28"/>
            <w:lang w:val="en-US"/>
          </w:rPr>
          <w:t>Generalised</w:t>
        </w:r>
        <w:proofErr w:type="spellEnd"/>
        <w:r w:rsidRPr="00E85504">
          <w:rPr>
            <w:rFonts w:ascii="Times New Roman" w:hAnsi="Times New Roman" w:cs="Times New Roman"/>
            <w:bCs/>
            <w:sz w:val="28"/>
            <w:szCs w:val="28"/>
            <w:lang w:val="en-US"/>
          </w:rPr>
          <w:t xml:space="preserve"> System of Preferences</w:t>
        </w:r>
      </w:hyperlink>
      <w:r w:rsidRPr="00E85504">
        <w:rPr>
          <w:rFonts w:ascii="Times New Roman" w:hAnsi="Times New Roman" w:cs="Times New Roman"/>
          <w:bCs/>
          <w:sz w:val="28"/>
          <w:szCs w:val="28"/>
          <w:lang w:val="en-US"/>
        </w:rPr>
        <w:t xml:space="preserve"> (GSP) for Azerbaijan had been deferred and Azerbaijan reverted to the standard "Most </w:t>
      </w:r>
      <w:proofErr w:type="spellStart"/>
      <w:r w:rsidRPr="00E85504">
        <w:rPr>
          <w:rFonts w:ascii="Times New Roman" w:hAnsi="Times New Roman" w:cs="Times New Roman"/>
          <w:bCs/>
          <w:sz w:val="28"/>
          <w:szCs w:val="28"/>
          <w:lang w:val="en-US"/>
        </w:rPr>
        <w:t>Favoured</w:t>
      </w:r>
      <w:proofErr w:type="spellEnd"/>
      <w:r w:rsidRPr="00E85504">
        <w:rPr>
          <w:rFonts w:ascii="Times New Roman" w:hAnsi="Times New Roman" w:cs="Times New Roman"/>
          <w:bCs/>
          <w:sz w:val="28"/>
          <w:szCs w:val="28"/>
          <w:lang w:val="en-US"/>
        </w:rPr>
        <w:t xml:space="preserve"> Nation" treatment. What were the main benefits of the GSP for Azerbaijan and what was the main reason behind the deferral? Other countries that introduce GSP to Azerbaijan.</w:t>
      </w:r>
    </w:p>
    <w:p w:rsidR="00E85504" w:rsidRP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Even though trade with CIS countries had grown from year to year (2000-2015), its share in foreign trade was overshadowed by the growth in trade with European Union countries. Explain the main reason behind this and describe the changing dynamics in trade with the Commonwealth of Independent States (CIS) and European Union countries.</w:t>
      </w:r>
    </w:p>
    <w:p w:rsidR="00E85504" w:rsidRDefault="00E85504"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Commercial policy instruments for non-oil export stimulation and ‘Made in Azerbaijan’ branding or its promotion.</w:t>
      </w:r>
    </w:p>
    <w:p w:rsidR="00594DBF" w:rsidRDefault="00594DBF" w:rsidP="00594DBF">
      <w:pPr>
        <w:spacing w:after="120" w:line="360" w:lineRule="auto"/>
        <w:jc w:val="both"/>
        <w:rPr>
          <w:rFonts w:ascii="Times New Roman" w:hAnsi="Times New Roman" w:cs="Times New Roman"/>
          <w:bCs/>
          <w:sz w:val="28"/>
          <w:szCs w:val="28"/>
          <w:lang w:val="en-US"/>
        </w:rPr>
      </w:pPr>
    </w:p>
    <w:p w:rsidR="00594DBF" w:rsidRDefault="00594DBF">
      <w:pPr>
        <w:rPr>
          <w:rFonts w:ascii="Times New Roman" w:hAnsi="Times New Roman" w:cs="Times New Roman"/>
          <w:bCs/>
          <w:sz w:val="28"/>
          <w:szCs w:val="28"/>
          <w:lang w:val="en-US"/>
        </w:rPr>
      </w:pPr>
      <w:r>
        <w:rPr>
          <w:rFonts w:ascii="Times New Roman" w:hAnsi="Times New Roman" w:cs="Times New Roman"/>
          <w:bCs/>
          <w:sz w:val="28"/>
          <w:szCs w:val="28"/>
          <w:lang w:val="en-US"/>
        </w:rPr>
        <w:br w:type="page"/>
      </w:r>
    </w:p>
    <w:p w:rsidR="00A44D6C" w:rsidRPr="00E85504" w:rsidRDefault="005D0790"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lastRenderedPageBreak/>
        <w:t>Delineate m</w:t>
      </w:r>
      <w:r w:rsidR="00A44D6C" w:rsidRPr="00E85504">
        <w:rPr>
          <w:rFonts w:ascii="Times New Roman" w:hAnsi="Times New Roman" w:cs="Times New Roman"/>
          <w:bCs/>
          <w:sz w:val="28"/>
          <w:szCs w:val="28"/>
          <w:lang w:val="en-US"/>
        </w:rPr>
        <w:t xml:space="preserve">ain sources of generated and paid income in Primary Income component </w:t>
      </w:r>
      <w:r w:rsidRPr="00E85504">
        <w:rPr>
          <w:rFonts w:ascii="Times New Roman" w:hAnsi="Times New Roman" w:cs="Times New Roman"/>
          <w:bCs/>
          <w:sz w:val="28"/>
          <w:szCs w:val="28"/>
          <w:lang w:val="en-US"/>
        </w:rPr>
        <w:t xml:space="preserve">in the </w:t>
      </w:r>
      <w:r w:rsidR="00A44D6C" w:rsidRPr="00E85504">
        <w:rPr>
          <w:rFonts w:ascii="Times New Roman" w:hAnsi="Times New Roman" w:cs="Times New Roman"/>
          <w:bCs/>
          <w:sz w:val="28"/>
          <w:szCs w:val="28"/>
          <w:lang w:val="en-US"/>
        </w:rPr>
        <w:t>Balance of Payment of the Republic of Azerbaijan.</w:t>
      </w:r>
    </w:p>
    <w:p w:rsidR="00721507" w:rsidRPr="00E85504" w:rsidRDefault="00721507"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Deliberate 4 (four) key strategic goals according to Strategic Road Map on National Economic Perspectives.</w:t>
      </w:r>
    </w:p>
    <w:p w:rsidR="00616A9A" w:rsidRPr="00E85504" w:rsidRDefault="00616A9A"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Which huge regional infrastructure projects that Azerbaijan currently implements have/will have favourable impact on development of foreign trade of the country?</w:t>
      </w:r>
    </w:p>
    <w:p w:rsidR="00721507" w:rsidRPr="00E85504" w:rsidRDefault="00721507"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SWOT analysis: Delineate ‘strengths’ of Azerbaijan’s economy from macroeconomic perspective.</w:t>
      </w:r>
    </w:p>
    <w:p w:rsidR="00616A9A" w:rsidRPr="00E85504" w:rsidRDefault="00616A9A"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Review of ‘transport sector’ development in Azerbaijan as a way to achieve improved foreign trade and transit potential.</w:t>
      </w:r>
    </w:p>
    <w:p w:rsidR="00616A9A" w:rsidRPr="00E85504" w:rsidRDefault="00616A9A"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 xml:space="preserve">Main sources of received and transferred secondary income in </w:t>
      </w:r>
      <w:r w:rsidR="005D0790" w:rsidRPr="00E85504">
        <w:rPr>
          <w:rFonts w:ascii="Times New Roman" w:hAnsi="Times New Roman" w:cs="Times New Roman"/>
          <w:bCs/>
          <w:sz w:val="28"/>
          <w:szCs w:val="28"/>
          <w:lang w:val="en-US"/>
        </w:rPr>
        <w:t>the</w:t>
      </w:r>
      <w:r w:rsidRPr="00E85504">
        <w:rPr>
          <w:rFonts w:ascii="Times New Roman" w:hAnsi="Times New Roman" w:cs="Times New Roman"/>
          <w:bCs/>
          <w:sz w:val="28"/>
          <w:szCs w:val="28"/>
          <w:lang w:val="en-US"/>
        </w:rPr>
        <w:t xml:space="preserve"> Balance of Payment of the Republic of Azerbaijan</w:t>
      </w:r>
      <w:r w:rsidR="005D0790" w:rsidRPr="00E85504">
        <w:rPr>
          <w:rFonts w:ascii="Times New Roman" w:hAnsi="Times New Roman" w:cs="Times New Roman"/>
          <w:bCs/>
          <w:sz w:val="28"/>
          <w:szCs w:val="28"/>
          <w:lang w:val="en-US"/>
        </w:rPr>
        <w:t>.</w:t>
      </w:r>
    </w:p>
    <w:p w:rsidR="00616A9A" w:rsidRPr="00E85504" w:rsidRDefault="00616A9A"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What oil export routes from and through Azerbaijan are you familiar with (both pipelines and railway routes)? Expectations with the new Baku-Tblisi-Kars railways and its role in regional trade growth.</w:t>
      </w:r>
      <w:r w:rsidR="005D0790" w:rsidRPr="00E85504">
        <w:rPr>
          <w:rFonts w:ascii="Times New Roman" w:hAnsi="Times New Roman" w:cs="Times New Roman"/>
          <w:bCs/>
          <w:sz w:val="28"/>
          <w:szCs w:val="28"/>
          <w:lang w:val="en-US"/>
        </w:rPr>
        <w:t xml:space="preserve"> </w:t>
      </w:r>
    </w:p>
    <w:p w:rsidR="00616A9A" w:rsidRPr="00E85504" w:rsidRDefault="00616A9A"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The list of documents that should be submitted in written form (on paper) or electronically to customs authorities for export operations according to the ‘Rules for declaring the goods and means of transport conveyed across the customs border’ approved by Decision No.263 of the Cabinet of Ministers of the Republic of Azerbaijan dated 22 July</w:t>
      </w:r>
      <w:r w:rsidR="007C26BD" w:rsidRPr="00E85504">
        <w:rPr>
          <w:rFonts w:ascii="Times New Roman" w:hAnsi="Times New Roman" w:cs="Times New Roman"/>
          <w:bCs/>
          <w:sz w:val="28"/>
          <w:szCs w:val="28"/>
          <w:lang w:val="en-US"/>
        </w:rPr>
        <w:t xml:space="preserve"> 2014</w:t>
      </w:r>
      <w:r w:rsidRPr="00E85504">
        <w:rPr>
          <w:rFonts w:ascii="Times New Roman" w:hAnsi="Times New Roman" w:cs="Times New Roman"/>
          <w:bCs/>
          <w:sz w:val="28"/>
          <w:szCs w:val="28"/>
          <w:lang w:val="en-US"/>
        </w:rPr>
        <w:t>.</w:t>
      </w:r>
    </w:p>
    <w:p w:rsidR="00616A9A" w:rsidRPr="00E85504" w:rsidRDefault="00616A9A"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Factors that could have an impact on Azerbaijan’s Balance of Payment. Deliberate the forms of the impact.</w:t>
      </w:r>
    </w:p>
    <w:p w:rsidR="00721507" w:rsidRPr="00E85504" w:rsidRDefault="00721507"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Strategic Road Map on National Economic Perspectives: Long-term outlook up to 2025.</w:t>
      </w:r>
    </w:p>
    <w:p w:rsidR="00721507" w:rsidRPr="00E85504" w:rsidRDefault="00721507"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 xml:space="preserve">SWOT analysis: Delineate ‘threats’ to Azerbaijan economy from macroeconomic perspective. </w:t>
      </w:r>
    </w:p>
    <w:p w:rsidR="00616A9A" w:rsidRPr="00E85504" w:rsidRDefault="00616A9A"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Please specify the product group that their export (temporarily) suspended in Azerbaijan and the products that Azerbaijan imposes export duties?</w:t>
      </w:r>
    </w:p>
    <w:p w:rsidR="00616A9A" w:rsidRPr="00E85504" w:rsidRDefault="00616A9A"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lastRenderedPageBreak/>
        <w:t xml:space="preserve">Main service sectors in total received and rendered services </w:t>
      </w:r>
      <w:r w:rsidR="005D0790" w:rsidRPr="00E85504">
        <w:rPr>
          <w:rFonts w:ascii="Times New Roman" w:hAnsi="Times New Roman" w:cs="Times New Roman"/>
          <w:bCs/>
          <w:sz w:val="28"/>
          <w:szCs w:val="28"/>
          <w:lang w:val="en-US"/>
        </w:rPr>
        <w:t xml:space="preserve">in the </w:t>
      </w:r>
      <w:r w:rsidRPr="00E85504">
        <w:rPr>
          <w:rFonts w:ascii="Times New Roman" w:hAnsi="Times New Roman" w:cs="Times New Roman"/>
          <w:bCs/>
          <w:sz w:val="28"/>
          <w:szCs w:val="28"/>
          <w:lang w:val="en-US"/>
        </w:rPr>
        <w:t>Balance of Payment of the Republic of Azerbaijan</w:t>
      </w:r>
      <w:r w:rsidR="005D0790" w:rsidRPr="00E85504">
        <w:rPr>
          <w:rFonts w:ascii="Times New Roman" w:hAnsi="Times New Roman" w:cs="Times New Roman"/>
          <w:bCs/>
          <w:sz w:val="28"/>
          <w:szCs w:val="28"/>
          <w:lang w:val="en-US"/>
        </w:rPr>
        <w:t xml:space="preserve"> for January-June 2017</w:t>
      </w:r>
      <w:r w:rsidRPr="00E85504">
        <w:rPr>
          <w:rFonts w:ascii="Times New Roman" w:hAnsi="Times New Roman" w:cs="Times New Roman"/>
          <w:bCs/>
          <w:sz w:val="28"/>
          <w:szCs w:val="28"/>
          <w:lang w:val="en-US"/>
        </w:rPr>
        <w:t xml:space="preserve">. Deliberate the tendency in each of these sectors relative to </w:t>
      </w:r>
      <w:r w:rsidR="005D0790" w:rsidRPr="00E85504">
        <w:rPr>
          <w:rFonts w:ascii="Times New Roman" w:hAnsi="Times New Roman" w:cs="Times New Roman"/>
          <w:bCs/>
          <w:sz w:val="28"/>
          <w:szCs w:val="28"/>
          <w:lang w:val="en-US"/>
        </w:rPr>
        <w:t>January-June 2016</w:t>
      </w:r>
      <w:r w:rsidRPr="00E85504">
        <w:rPr>
          <w:rFonts w:ascii="Times New Roman" w:hAnsi="Times New Roman" w:cs="Times New Roman"/>
          <w:bCs/>
          <w:sz w:val="28"/>
          <w:szCs w:val="28"/>
          <w:lang w:val="en-US"/>
        </w:rPr>
        <w:t>.</w:t>
      </w:r>
    </w:p>
    <w:p w:rsidR="0086686E" w:rsidRPr="00E85504" w:rsidRDefault="00616A9A"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The role of AZPROMO (Azerbaijan Export and Investment Promotion Foundation) in export promotion in Azerbaijan.</w:t>
      </w:r>
    </w:p>
    <w:p w:rsidR="00721507" w:rsidRPr="00E85504" w:rsidRDefault="00721507"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Azerbaijan’s ranking at ‘Doing Business 2018 Report’</w:t>
      </w:r>
    </w:p>
    <w:p w:rsidR="00721507" w:rsidRPr="00E85504" w:rsidRDefault="00721507"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Strategic Road Map on National Economic Perspectives: Target outlook for the period after 2025.</w:t>
      </w:r>
    </w:p>
    <w:p w:rsidR="00616A9A" w:rsidRPr="00E85504" w:rsidRDefault="00616A9A"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 xml:space="preserve">Deliberate Current Account Balance on the oil and gas sector and non-oil sector </w:t>
      </w:r>
      <w:r w:rsidR="005D0790" w:rsidRPr="00E85504">
        <w:rPr>
          <w:rFonts w:ascii="Times New Roman" w:hAnsi="Times New Roman" w:cs="Times New Roman"/>
          <w:bCs/>
          <w:sz w:val="28"/>
          <w:szCs w:val="28"/>
          <w:lang w:val="en-US"/>
        </w:rPr>
        <w:t>in the</w:t>
      </w:r>
      <w:r w:rsidRPr="00E85504">
        <w:rPr>
          <w:rFonts w:ascii="Times New Roman" w:hAnsi="Times New Roman" w:cs="Times New Roman"/>
          <w:bCs/>
          <w:sz w:val="28"/>
          <w:szCs w:val="28"/>
          <w:lang w:val="en-US"/>
        </w:rPr>
        <w:t xml:space="preserve"> Balance of Payment of the Republic of Azerbaijan</w:t>
      </w:r>
      <w:r w:rsidR="005D0790" w:rsidRPr="00E85504">
        <w:rPr>
          <w:rFonts w:ascii="Times New Roman" w:hAnsi="Times New Roman" w:cs="Times New Roman"/>
          <w:bCs/>
          <w:sz w:val="28"/>
          <w:szCs w:val="28"/>
          <w:lang w:val="en-US"/>
        </w:rPr>
        <w:t xml:space="preserve"> for January-June 2017</w:t>
      </w:r>
      <w:r w:rsidRPr="00E85504">
        <w:rPr>
          <w:rFonts w:ascii="Times New Roman" w:hAnsi="Times New Roman" w:cs="Times New Roman"/>
          <w:bCs/>
          <w:sz w:val="28"/>
          <w:szCs w:val="28"/>
          <w:lang w:val="en-US"/>
        </w:rPr>
        <w:t>.</w:t>
      </w:r>
    </w:p>
    <w:p w:rsidR="00721507" w:rsidRPr="00E85504" w:rsidRDefault="00721507"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 xml:space="preserve">SWOT analysis: Delineate ‘weaknesses’ of Azerbaijan’s economy from macroeconomic perspective. </w:t>
      </w:r>
    </w:p>
    <w:p w:rsidR="00381E25" w:rsidRPr="00E85504" w:rsidRDefault="00381E25"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The list of documents that should be submitted in written form (on paper) or electronically to customs authorities for import operations according to the ‘Rules for declaring the goods and means of transport conveyed across the customs border’ approved by Decision No.263 of the Cabinet of Ministers of the Republic of Azerbaijan dated 22 July</w:t>
      </w:r>
      <w:r w:rsidR="007C26BD" w:rsidRPr="00E85504">
        <w:rPr>
          <w:rFonts w:ascii="Times New Roman" w:hAnsi="Times New Roman" w:cs="Times New Roman"/>
          <w:bCs/>
          <w:sz w:val="28"/>
          <w:szCs w:val="28"/>
          <w:lang w:val="en-US"/>
        </w:rPr>
        <w:t xml:space="preserve"> 2014</w:t>
      </w:r>
      <w:r w:rsidRPr="00E85504">
        <w:rPr>
          <w:rFonts w:ascii="Times New Roman" w:hAnsi="Times New Roman" w:cs="Times New Roman"/>
          <w:bCs/>
          <w:sz w:val="28"/>
          <w:szCs w:val="28"/>
          <w:lang w:val="en-US"/>
        </w:rPr>
        <w:t>.</w:t>
      </w:r>
    </w:p>
    <w:p w:rsidR="00721507" w:rsidRPr="00E85504" w:rsidRDefault="00721507"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Strategic Roadmap on National Economic Perspectives: Strategic outlook by 2020.</w:t>
      </w:r>
    </w:p>
    <w:p w:rsidR="00CD5906" w:rsidRPr="00E85504" w:rsidRDefault="00CD5906"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What are the role and the reason behind the establishment of Coordinating Council on Transit Freight?</w:t>
      </w:r>
    </w:p>
    <w:p w:rsidR="00AF5260" w:rsidRPr="00E85504" w:rsidRDefault="00AF5260"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What is a potential development path for corridors and what is a position of Azerbaijan in this transition process? Transition from a Transport Corridor to Economic Corridor.</w:t>
      </w:r>
    </w:p>
    <w:p w:rsidR="00721507" w:rsidRPr="00E85504" w:rsidRDefault="00721507"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SWOT analysis: Delineate ‘opportunities’ of Azerbaijan’s economy from macroeconomic perspective.</w:t>
      </w:r>
    </w:p>
    <w:p w:rsidR="0086686E" w:rsidRPr="00E85504" w:rsidRDefault="00687C09" w:rsidP="00E85504">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E85504">
        <w:rPr>
          <w:rFonts w:ascii="Times New Roman" w:hAnsi="Times New Roman" w:cs="Times New Roman"/>
          <w:bCs/>
          <w:sz w:val="28"/>
          <w:szCs w:val="28"/>
          <w:lang w:val="en-US"/>
        </w:rPr>
        <w:t>Azerbaijan’s ranking at ‘Global Competitiveness Report, 2017-2018’</w:t>
      </w:r>
    </w:p>
    <w:p w:rsidR="00721507" w:rsidRPr="004A3321" w:rsidRDefault="00EB27A4" w:rsidP="004A3321">
      <w:pPr>
        <w:pStyle w:val="a3"/>
        <w:numPr>
          <w:ilvl w:val="0"/>
          <w:numId w:val="30"/>
        </w:numPr>
        <w:spacing w:after="120" w:line="360" w:lineRule="auto"/>
        <w:ind w:left="450"/>
        <w:contextualSpacing w:val="0"/>
        <w:jc w:val="both"/>
        <w:rPr>
          <w:rFonts w:ascii="Times New Roman" w:hAnsi="Times New Roman" w:cs="Times New Roman"/>
          <w:bCs/>
          <w:sz w:val="28"/>
          <w:szCs w:val="28"/>
          <w:lang w:val="en-US"/>
        </w:rPr>
      </w:pPr>
      <w:r w:rsidRPr="004A3321">
        <w:rPr>
          <w:rFonts w:ascii="Times New Roman" w:hAnsi="Times New Roman" w:cs="Times New Roman"/>
          <w:bCs/>
          <w:sz w:val="28"/>
          <w:szCs w:val="28"/>
          <w:lang w:val="en-US"/>
        </w:rPr>
        <w:t>Need for a Strategic Road</w:t>
      </w:r>
      <w:r w:rsidR="007329E1" w:rsidRPr="004A3321">
        <w:rPr>
          <w:rFonts w:ascii="Times New Roman" w:hAnsi="Times New Roman" w:cs="Times New Roman"/>
          <w:bCs/>
          <w:sz w:val="28"/>
          <w:szCs w:val="28"/>
          <w:lang w:val="en-US"/>
        </w:rPr>
        <w:t xml:space="preserve"> M</w:t>
      </w:r>
      <w:r w:rsidRPr="004A3321">
        <w:rPr>
          <w:rFonts w:ascii="Times New Roman" w:hAnsi="Times New Roman" w:cs="Times New Roman"/>
          <w:bCs/>
          <w:sz w:val="28"/>
          <w:szCs w:val="28"/>
          <w:lang w:val="en-US"/>
        </w:rPr>
        <w:t xml:space="preserve">ap on National Economy </w:t>
      </w:r>
      <w:r w:rsidR="007329E1" w:rsidRPr="004A3321">
        <w:rPr>
          <w:rFonts w:ascii="Times New Roman" w:hAnsi="Times New Roman" w:cs="Times New Roman"/>
          <w:bCs/>
          <w:sz w:val="28"/>
          <w:szCs w:val="28"/>
          <w:lang w:val="en-US"/>
        </w:rPr>
        <w:t xml:space="preserve">and Main Sectors of the Economy </w:t>
      </w:r>
      <w:r w:rsidRPr="004A3321">
        <w:rPr>
          <w:rFonts w:ascii="Times New Roman" w:hAnsi="Times New Roman" w:cs="Times New Roman"/>
          <w:bCs/>
          <w:sz w:val="28"/>
          <w:szCs w:val="28"/>
          <w:lang w:val="en-US"/>
        </w:rPr>
        <w:t xml:space="preserve">– </w:t>
      </w:r>
      <w:r w:rsidR="00DF235B" w:rsidRPr="004A3321">
        <w:rPr>
          <w:rFonts w:ascii="Times New Roman" w:hAnsi="Times New Roman" w:cs="Times New Roman"/>
          <w:bCs/>
          <w:sz w:val="28"/>
          <w:szCs w:val="28"/>
          <w:lang w:val="en-US"/>
        </w:rPr>
        <w:t>factors that</w:t>
      </w:r>
      <w:r w:rsidRPr="004A3321">
        <w:rPr>
          <w:rFonts w:ascii="Times New Roman" w:hAnsi="Times New Roman" w:cs="Times New Roman"/>
          <w:bCs/>
          <w:sz w:val="28"/>
          <w:szCs w:val="28"/>
          <w:lang w:val="en-US"/>
        </w:rPr>
        <w:t xml:space="preserve"> made </w:t>
      </w:r>
      <w:r w:rsidR="00DF235B" w:rsidRPr="004A3321">
        <w:rPr>
          <w:rFonts w:ascii="Times New Roman" w:hAnsi="Times New Roman" w:cs="Times New Roman"/>
          <w:bCs/>
          <w:sz w:val="28"/>
          <w:szCs w:val="28"/>
          <w:lang w:val="en-US"/>
        </w:rPr>
        <w:t xml:space="preserve">its adoption </w:t>
      </w:r>
      <w:r w:rsidRPr="004A3321">
        <w:rPr>
          <w:rFonts w:ascii="Times New Roman" w:hAnsi="Times New Roman" w:cs="Times New Roman"/>
          <w:bCs/>
          <w:sz w:val="28"/>
          <w:szCs w:val="28"/>
          <w:lang w:val="en-US"/>
        </w:rPr>
        <w:t>necessary.</w:t>
      </w:r>
      <w:bookmarkStart w:id="0" w:name="_GoBack"/>
      <w:bookmarkEnd w:id="0"/>
    </w:p>
    <w:sectPr w:rsidR="00721507" w:rsidRPr="004A3321" w:rsidSect="00594DBF">
      <w:pgSz w:w="12240" w:h="15840"/>
      <w:pgMar w:top="426" w:right="850" w:bottom="28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B20"/>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76F6F"/>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D0809"/>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36AD5"/>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17468"/>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4269E"/>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B13CA"/>
    <w:multiLevelType w:val="hybridMultilevel"/>
    <w:tmpl w:val="FADA2E08"/>
    <w:lvl w:ilvl="0" w:tplc="04090019">
      <w:start w:val="1"/>
      <w:numFmt w:val="lowerLetter"/>
      <w:lvlText w:val="%1."/>
      <w:lvlJc w:val="left"/>
      <w:pPr>
        <w:ind w:left="1800" w:hanging="360"/>
      </w:pPr>
      <w:rPr>
        <w:rFonts w:hint="default"/>
      </w:rPr>
    </w:lvl>
    <w:lvl w:ilvl="1" w:tplc="5582DF1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D75491"/>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379C1"/>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E3CB8"/>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D7C01"/>
    <w:multiLevelType w:val="hybridMultilevel"/>
    <w:tmpl w:val="331A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F738A"/>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D3861"/>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0335C"/>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2352E"/>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A1036"/>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954CA"/>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63B62"/>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C70D3"/>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447104"/>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310BD"/>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0B12C1"/>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44EEC"/>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72C59"/>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41F11"/>
    <w:multiLevelType w:val="hybridMultilevel"/>
    <w:tmpl w:val="F3F6E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D3F9A"/>
    <w:multiLevelType w:val="hybridMultilevel"/>
    <w:tmpl w:val="4D80B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140AE1"/>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875A1"/>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F1160"/>
    <w:multiLevelType w:val="hybridMultilevel"/>
    <w:tmpl w:val="6044AFDC"/>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7D8D70FC"/>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11"/>
  </w:num>
  <w:num w:numId="4">
    <w:abstractNumId w:val="21"/>
  </w:num>
  <w:num w:numId="5">
    <w:abstractNumId w:val="5"/>
  </w:num>
  <w:num w:numId="6">
    <w:abstractNumId w:val="3"/>
  </w:num>
  <w:num w:numId="7">
    <w:abstractNumId w:val="2"/>
  </w:num>
  <w:num w:numId="8">
    <w:abstractNumId w:val="12"/>
  </w:num>
  <w:num w:numId="9">
    <w:abstractNumId w:val="17"/>
  </w:num>
  <w:num w:numId="10">
    <w:abstractNumId w:val="6"/>
  </w:num>
  <w:num w:numId="11">
    <w:abstractNumId w:val="18"/>
  </w:num>
  <w:num w:numId="12">
    <w:abstractNumId w:val="0"/>
  </w:num>
  <w:num w:numId="13">
    <w:abstractNumId w:val="23"/>
  </w:num>
  <w:num w:numId="14">
    <w:abstractNumId w:val="28"/>
  </w:num>
  <w:num w:numId="15">
    <w:abstractNumId w:val="22"/>
  </w:num>
  <w:num w:numId="16">
    <w:abstractNumId w:val="8"/>
  </w:num>
  <w:num w:numId="17">
    <w:abstractNumId w:val="19"/>
  </w:num>
  <w:num w:numId="18">
    <w:abstractNumId w:val="15"/>
  </w:num>
  <w:num w:numId="19">
    <w:abstractNumId w:val="1"/>
  </w:num>
  <w:num w:numId="20">
    <w:abstractNumId w:val="13"/>
  </w:num>
  <w:num w:numId="21">
    <w:abstractNumId w:val="9"/>
  </w:num>
  <w:num w:numId="22">
    <w:abstractNumId w:val="27"/>
  </w:num>
  <w:num w:numId="23">
    <w:abstractNumId w:val="20"/>
  </w:num>
  <w:num w:numId="24">
    <w:abstractNumId w:val="14"/>
  </w:num>
  <w:num w:numId="25">
    <w:abstractNumId w:val="7"/>
  </w:num>
  <w:num w:numId="26">
    <w:abstractNumId w:val="29"/>
  </w:num>
  <w:num w:numId="27">
    <w:abstractNumId w:val="4"/>
  </w:num>
  <w:num w:numId="28">
    <w:abstractNumId w:val="26"/>
  </w:num>
  <w:num w:numId="29">
    <w:abstractNumId w:val="24"/>
  </w:num>
  <w:num w:numId="3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2B"/>
    <w:rsid w:val="00004E19"/>
    <w:rsid w:val="00011168"/>
    <w:rsid w:val="000B52F2"/>
    <w:rsid w:val="000F38AB"/>
    <w:rsid w:val="00122DB7"/>
    <w:rsid w:val="001724C9"/>
    <w:rsid w:val="00190130"/>
    <w:rsid w:val="001C4662"/>
    <w:rsid w:val="001D4FC6"/>
    <w:rsid w:val="001E7678"/>
    <w:rsid w:val="001F48B8"/>
    <w:rsid w:val="00203D38"/>
    <w:rsid w:val="00212F5B"/>
    <w:rsid w:val="00225238"/>
    <w:rsid w:val="00270065"/>
    <w:rsid w:val="003029A0"/>
    <w:rsid w:val="00354690"/>
    <w:rsid w:val="00381E25"/>
    <w:rsid w:val="003B6987"/>
    <w:rsid w:val="004122D4"/>
    <w:rsid w:val="004275EA"/>
    <w:rsid w:val="00440352"/>
    <w:rsid w:val="00485E18"/>
    <w:rsid w:val="004A3321"/>
    <w:rsid w:val="00511845"/>
    <w:rsid w:val="00527FE0"/>
    <w:rsid w:val="005546F0"/>
    <w:rsid w:val="0055728A"/>
    <w:rsid w:val="00572829"/>
    <w:rsid w:val="00594DBF"/>
    <w:rsid w:val="005C620D"/>
    <w:rsid w:val="005D0790"/>
    <w:rsid w:val="00600C6D"/>
    <w:rsid w:val="00616A9A"/>
    <w:rsid w:val="00682C7B"/>
    <w:rsid w:val="006875AB"/>
    <w:rsid w:val="00687C09"/>
    <w:rsid w:val="00694BBE"/>
    <w:rsid w:val="006B37CA"/>
    <w:rsid w:val="006F3240"/>
    <w:rsid w:val="00707F7F"/>
    <w:rsid w:val="00721507"/>
    <w:rsid w:val="007329E1"/>
    <w:rsid w:val="007A1C09"/>
    <w:rsid w:val="007C26BD"/>
    <w:rsid w:val="008248C2"/>
    <w:rsid w:val="00836F5C"/>
    <w:rsid w:val="0086686E"/>
    <w:rsid w:val="008E370D"/>
    <w:rsid w:val="009630ED"/>
    <w:rsid w:val="00991873"/>
    <w:rsid w:val="009B171F"/>
    <w:rsid w:val="009D74D1"/>
    <w:rsid w:val="00A44D6C"/>
    <w:rsid w:val="00A72E2B"/>
    <w:rsid w:val="00AA0E11"/>
    <w:rsid w:val="00AA3999"/>
    <w:rsid w:val="00AD071A"/>
    <w:rsid w:val="00AE0079"/>
    <w:rsid w:val="00AF5260"/>
    <w:rsid w:val="00B32C6C"/>
    <w:rsid w:val="00B43AC1"/>
    <w:rsid w:val="00B44C9B"/>
    <w:rsid w:val="00B47E32"/>
    <w:rsid w:val="00B9120B"/>
    <w:rsid w:val="00BC38B6"/>
    <w:rsid w:val="00BD01C8"/>
    <w:rsid w:val="00BD7712"/>
    <w:rsid w:val="00BE1557"/>
    <w:rsid w:val="00BF24A9"/>
    <w:rsid w:val="00C3607E"/>
    <w:rsid w:val="00C834CD"/>
    <w:rsid w:val="00CC246D"/>
    <w:rsid w:val="00CD5906"/>
    <w:rsid w:val="00CE0BBB"/>
    <w:rsid w:val="00D134DD"/>
    <w:rsid w:val="00D240DF"/>
    <w:rsid w:val="00DE37B3"/>
    <w:rsid w:val="00DF235B"/>
    <w:rsid w:val="00E26B93"/>
    <w:rsid w:val="00E85504"/>
    <w:rsid w:val="00E919C5"/>
    <w:rsid w:val="00EB27A4"/>
    <w:rsid w:val="00EC681D"/>
    <w:rsid w:val="00ED5EEF"/>
    <w:rsid w:val="00F41079"/>
    <w:rsid w:val="00F41DE8"/>
    <w:rsid w:val="00F72CF6"/>
    <w:rsid w:val="00FB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E2B"/>
    <w:pPr>
      <w:ind w:left="720"/>
      <w:contextualSpacing/>
    </w:pPr>
  </w:style>
  <w:style w:type="character" w:styleId="a4">
    <w:name w:val="Strong"/>
    <w:basedOn w:val="a0"/>
    <w:uiPriority w:val="22"/>
    <w:qFormat/>
    <w:rsid w:val="00E26B93"/>
    <w:rPr>
      <w:b/>
      <w:bCs/>
    </w:rPr>
  </w:style>
  <w:style w:type="paragraph" w:styleId="a5">
    <w:name w:val="Normal (Web)"/>
    <w:basedOn w:val="a"/>
    <w:uiPriority w:val="99"/>
    <w:unhideWhenUsed/>
    <w:rsid w:val="00E26B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836F5C"/>
  </w:style>
  <w:style w:type="paragraph" w:styleId="a6">
    <w:name w:val="No Spacing"/>
    <w:uiPriority w:val="1"/>
    <w:qFormat/>
    <w:rsid w:val="00527FE0"/>
    <w:pPr>
      <w:spacing w:after="0" w:line="240" w:lineRule="auto"/>
    </w:pPr>
  </w:style>
  <w:style w:type="table" w:styleId="a7">
    <w:name w:val="Table Grid"/>
    <w:basedOn w:val="a1"/>
    <w:uiPriority w:val="59"/>
    <w:rsid w:val="00682C7B"/>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E2B"/>
    <w:pPr>
      <w:ind w:left="720"/>
      <w:contextualSpacing/>
    </w:pPr>
  </w:style>
  <w:style w:type="character" w:styleId="a4">
    <w:name w:val="Strong"/>
    <w:basedOn w:val="a0"/>
    <w:uiPriority w:val="22"/>
    <w:qFormat/>
    <w:rsid w:val="00E26B93"/>
    <w:rPr>
      <w:b/>
      <w:bCs/>
    </w:rPr>
  </w:style>
  <w:style w:type="paragraph" w:styleId="a5">
    <w:name w:val="Normal (Web)"/>
    <w:basedOn w:val="a"/>
    <w:uiPriority w:val="99"/>
    <w:unhideWhenUsed/>
    <w:rsid w:val="00E26B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836F5C"/>
  </w:style>
  <w:style w:type="paragraph" w:styleId="a6">
    <w:name w:val="No Spacing"/>
    <w:uiPriority w:val="1"/>
    <w:qFormat/>
    <w:rsid w:val="00527FE0"/>
    <w:pPr>
      <w:spacing w:after="0" w:line="240" w:lineRule="auto"/>
    </w:pPr>
  </w:style>
  <w:style w:type="table" w:styleId="a7">
    <w:name w:val="Table Grid"/>
    <w:basedOn w:val="a1"/>
    <w:uiPriority w:val="59"/>
    <w:rsid w:val="00682C7B"/>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73088">
      <w:bodyDiv w:val="1"/>
      <w:marLeft w:val="0"/>
      <w:marRight w:val="0"/>
      <w:marTop w:val="0"/>
      <w:marBottom w:val="0"/>
      <w:divBdr>
        <w:top w:val="none" w:sz="0" w:space="0" w:color="auto"/>
        <w:left w:val="none" w:sz="0" w:space="0" w:color="auto"/>
        <w:bottom w:val="none" w:sz="0" w:space="0" w:color="auto"/>
        <w:right w:val="none" w:sz="0" w:space="0" w:color="auto"/>
      </w:divBdr>
    </w:div>
    <w:div w:id="11940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c.europa.eu/trade/policy/countries-and-regions/development/generalised-scheme-of-pre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jhssnet.com/journals/Vol_4_No_4_Special_Issue_February_2014/1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1442</Words>
  <Characters>8224</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8</cp:revision>
  <dcterms:created xsi:type="dcterms:W3CDTF">2017-12-15T12:32:00Z</dcterms:created>
  <dcterms:modified xsi:type="dcterms:W3CDTF">2017-12-25T06:26:00Z</dcterms:modified>
</cp:coreProperties>
</file>