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29" w:rsidRPr="00912F4A" w:rsidRDefault="00185F29" w:rsidP="00185F29">
      <w:pPr>
        <w:spacing w:after="0" w:line="240" w:lineRule="auto"/>
        <w:ind w:left="360"/>
        <w:rPr>
          <w:b/>
          <w:lang w:val="en-US"/>
        </w:rPr>
      </w:pPr>
      <w:r w:rsidRPr="00912F4A">
        <w:rPr>
          <w:b/>
          <w:lang w:val="en-US"/>
        </w:rPr>
        <w:t>International Commercial Transactions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The essence of International commercial transactions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Stages of International commercial transactions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 xml:space="preserve">Subjects of International commercial transactions 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Objects of International commercial transactions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Forms of International commercial transactions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Intra-company and inter-company commercial transactions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Main commercial operations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Supplementary commercial operations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Specific commercial operations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The Wien Convention 1980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The Hague Convention 1985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Tariff and non-tariff barriers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Tariff barriers: ad-valorem, specific and compound taxes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Non-tariff barriers: licenses and quotas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Non-tariff barriers: Local content requirement and technical standards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Non-tariff barriers: Voluntary export restraints and subsidies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Non-tariff barriers: Dumping and lending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Import/export operations.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Direct and indirect types of export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International Terms of Sale (</w:t>
      </w:r>
      <w:proofErr w:type="spellStart"/>
      <w:r w:rsidRPr="00912F4A">
        <w:rPr>
          <w:lang w:val="en-US"/>
        </w:rPr>
        <w:t>Incoterms</w:t>
      </w:r>
      <w:proofErr w:type="spellEnd"/>
      <w:r w:rsidRPr="00912F4A">
        <w:rPr>
          <w:lang w:val="en-US"/>
        </w:rPr>
        <w:t xml:space="preserve">) and </w:t>
      </w:r>
      <w:proofErr w:type="spellStart"/>
      <w:r w:rsidRPr="00912F4A">
        <w:rPr>
          <w:lang w:val="en-US"/>
        </w:rPr>
        <w:t>it's</w:t>
      </w:r>
      <w:proofErr w:type="spellEnd"/>
      <w:r w:rsidRPr="00912F4A">
        <w:rPr>
          <w:lang w:val="en-US"/>
        </w:rPr>
        <w:t xml:space="preserve"> role in international business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 xml:space="preserve">Explain E – group </w:t>
      </w:r>
      <w:proofErr w:type="spellStart"/>
      <w:r w:rsidRPr="00912F4A">
        <w:rPr>
          <w:lang w:val="en-US"/>
        </w:rPr>
        <w:t>Incoterms</w:t>
      </w:r>
      <w:proofErr w:type="spellEnd"/>
      <w:r w:rsidRPr="00912F4A">
        <w:rPr>
          <w:lang w:val="en-US"/>
        </w:rPr>
        <w:t xml:space="preserve">. 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proofErr w:type="gramStart"/>
      <w:r w:rsidRPr="00912F4A">
        <w:rPr>
          <w:lang w:val="en-US"/>
        </w:rPr>
        <w:t>Explain  C</w:t>
      </w:r>
      <w:proofErr w:type="gramEnd"/>
      <w:r w:rsidRPr="00912F4A">
        <w:rPr>
          <w:lang w:val="en-US"/>
        </w:rPr>
        <w:t xml:space="preserve"> – group </w:t>
      </w:r>
      <w:proofErr w:type="spellStart"/>
      <w:r w:rsidRPr="00912F4A">
        <w:rPr>
          <w:lang w:val="en-US"/>
        </w:rPr>
        <w:t>Incoterms</w:t>
      </w:r>
      <w:proofErr w:type="spellEnd"/>
      <w:r w:rsidRPr="00912F4A">
        <w:rPr>
          <w:lang w:val="en-US"/>
        </w:rPr>
        <w:t xml:space="preserve">. 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proofErr w:type="gramStart"/>
      <w:r w:rsidRPr="00912F4A">
        <w:rPr>
          <w:lang w:val="en-US"/>
        </w:rPr>
        <w:t>Explain</w:t>
      </w:r>
      <w:proofErr w:type="gramEnd"/>
      <w:r w:rsidRPr="00912F4A">
        <w:rPr>
          <w:lang w:val="en-US"/>
        </w:rPr>
        <w:t xml:space="preserve"> F – group </w:t>
      </w:r>
      <w:proofErr w:type="spellStart"/>
      <w:r w:rsidRPr="00912F4A">
        <w:rPr>
          <w:lang w:val="en-US"/>
        </w:rPr>
        <w:t>Incoterms</w:t>
      </w:r>
      <w:proofErr w:type="spellEnd"/>
      <w:r w:rsidRPr="00912F4A">
        <w:rPr>
          <w:lang w:val="en-US"/>
        </w:rPr>
        <w:t>.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proofErr w:type="gramStart"/>
      <w:r w:rsidRPr="00912F4A">
        <w:rPr>
          <w:lang w:val="en-US"/>
        </w:rPr>
        <w:t>Explain</w:t>
      </w:r>
      <w:proofErr w:type="gramEnd"/>
      <w:r w:rsidRPr="00912F4A">
        <w:rPr>
          <w:lang w:val="en-US"/>
        </w:rPr>
        <w:t xml:space="preserve"> D – group </w:t>
      </w:r>
      <w:proofErr w:type="spellStart"/>
      <w:r w:rsidRPr="00912F4A">
        <w:rPr>
          <w:lang w:val="en-US"/>
        </w:rPr>
        <w:t>Incoterms</w:t>
      </w:r>
      <w:proofErr w:type="spellEnd"/>
      <w:r w:rsidRPr="00912F4A">
        <w:rPr>
          <w:lang w:val="en-US"/>
        </w:rPr>
        <w:t>.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ind w:left="993"/>
        <w:rPr>
          <w:lang w:val="en-US"/>
        </w:rPr>
      </w:pPr>
      <w:r w:rsidRPr="00912F4A">
        <w:rPr>
          <w:lang w:val="en-US"/>
        </w:rPr>
        <w:t>International chamber of commerce as a part of international business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Stages of international contracting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Marketing as a crucial stage of  international commerce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Inquiry as an invitation to trade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Offer as an invitation to trade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Counter offer and its main functions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Acceptance and its main functions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Types of offer: Free offer and cases of its appliance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Types of offer: Firm offer and cases of its appliance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Explain the difference between offer and inquiry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Termination of offer: reasons and results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International Business (3S analysis)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Porter model of international business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Vernon model of international business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International trade contract essence and structure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Preamble of the contract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Objects of the contract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Price of the contract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Quality and warranty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Delivery details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Terms of payment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Packaging and labeling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Transportation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lastRenderedPageBreak/>
        <w:t>Guarantees, sanction and compensation part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Force majeure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Arbitration of the contract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Commercial intermediaries and their role in international trade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Types of intermediary trade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Forms of Intermediary business Trade Companies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Types of commercial intermediation, agents, commissioners, brokers and factors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 xml:space="preserve">Peculiarities of Modern Intermediary Operations 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Commodity exchanges and main exchanges in the world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Types of Exchange Deals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Structure of commodity exchanges, types of operations, participants.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Futures, forwards, hedging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color w:val="000000"/>
          <w:lang w:val="en-US"/>
        </w:rPr>
        <w:t>Auctions: D</w:t>
      </w:r>
      <w:r w:rsidRPr="00912F4A">
        <w:rPr>
          <w:lang w:val="en-US"/>
        </w:rPr>
        <w:t>efinition and Traded Commodities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912F4A">
        <w:rPr>
          <w:color w:val="000000"/>
        </w:rPr>
        <w:t>Structure</w:t>
      </w:r>
      <w:proofErr w:type="spellEnd"/>
      <w:r w:rsidRPr="00912F4A">
        <w:rPr>
          <w:color w:val="000000"/>
        </w:rPr>
        <w:t xml:space="preserve"> </w:t>
      </w:r>
      <w:proofErr w:type="spellStart"/>
      <w:r w:rsidRPr="00912F4A">
        <w:rPr>
          <w:color w:val="000000"/>
        </w:rPr>
        <w:t>and</w:t>
      </w:r>
      <w:proofErr w:type="spellEnd"/>
      <w:r w:rsidRPr="00912F4A">
        <w:rPr>
          <w:color w:val="000000"/>
        </w:rPr>
        <w:t xml:space="preserve"> </w:t>
      </w:r>
      <w:proofErr w:type="spellStart"/>
      <w:r w:rsidRPr="00912F4A">
        <w:rPr>
          <w:color w:val="000000"/>
        </w:rPr>
        <w:t>types</w:t>
      </w:r>
      <w:proofErr w:type="spellEnd"/>
      <w:r w:rsidRPr="00912F4A">
        <w:rPr>
          <w:color w:val="000000"/>
        </w:rPr>
        <w:t xml:space="preserve"> </w:t>
      </w:r>
      <w:proofErr w:type="spellStart"/>
      <w:r w:rsidRPr="00912F4A">
        <w:rPr>
          <w:color w:val="000000"/>
        </w:rPr>
        <w:t>of</w:t>
      </w:r>
      <w:proofErr w:type="spellEnd"/>
      <w:r w:rsidRPr="00912F4A">
        <w:rPr>
          <w:color w:val="000000"/>
        </w:rPr>
        <w:t xml:space="preserve"> </w:t>
      </w:r>
      <w:proofErr w:type="spellStart"/>
      <w:r w:rsidRPr="00912F4A">
        <w:rPr>
          <w:color w:val="000000"/>
        </w:rPr>
        <w:t>auctions</w:t>
      </w:r>
      <w:proofErr w:type="spellEnd"/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Definition and essence of international tenders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 xml:space="preserve">Tender, </w:t>
      </w:r>
      <w:r w:rsidRPr="00912F4A">
        <w:rPr>
          <w:color w:val="000000"/>
          <w:lang w:val="en-US"/>
        </w:rPr>
        <w:t>types of tenders and participants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color w:val="000000"/>
          <w:lang w:val="en-US"/>
        </w:rPr>
        <w:t>Tender procedures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color w:val="000000"/>
          <w:lang w:val="en-US"/>
        </w:rPr>
        <w:t>E-commerce essence and types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color w:val="000000"/>
          <w:lang w:val="en-US"/>
        </w:rPr>
        <w:t>Pros and cons of E-commerce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color w:val="000000"/>
          <w:lang w:val="en-US"/>
        </w:rPr>
        <w:t>Models of e-commerce (B2B, B2C, C2C, B2E)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color w:val="000000"/>
          <w:lang w:val="en-US"/>
        </w:rPr>
        <w:t>Types and aims of exhibitions and fairs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color w:val="000000"/>
          <w:lang w:val="en-US"/>
        </w:rPr>
      </w:pPr>
      <w:r w:rsidRPr="00912F4A">
        <w:rPr>
          <w:color w:val="000000"/>
          <w:lang w:val="en-US"/>
        </w:rPr>
        <w:t>International trade of technology, knowledge, consulting and other services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Types of technological exchange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International trade of licenses. Types of license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Structure of license agreement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Single, exclusive and full license, license payment types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 xml:space="preserve">International tourism. </w:t>
      </w:r>
      <w:r w:rsidRPr="00912F4A">
        <w:rPr>
          <w:color w:val="000000"/>
          <w:lang w:val="en-US"/>
        </w:rPr>
        <w:t>Modern tourism services, tourism companies and agencies, hotel chains</w:t>
      </w:r>
    </w:p>
    <w:p w:rsidR="00185F29" w:rsidRPr="00912F4A" w:rsidRDefault="00185F29" w:rsidP="00185F2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color w:val="000000"/>
          <w:lang w:val="en-US"/>
        </w:rPr>
        <w:t>International leasing, parties of leasing contracts and types of leasing</w:t>
      </w:r>
    </w:p>
    <w:p w:rsidR="00185F29" w:rsidRPr="00912F4A" w:rsidRDefault="00185F29" w:rsidP="00185F29">
      <w:pPr>
        <w:pStyle w:val="a3"/>
        <w:spacing w:after="0" w:line="240" w:lineRule="auto"/>
        <w:ind w:left="1080"/>
        <w:rPr>
          <w:lang w:val="en-US"/>
        </w:rPr>
      </w:pPr>
    </w:p>
    <w:p w:rsidR="00185F29" w:rsidRPr="00912F4A" w:rsidRDefault="00185F29" w:rsidP="00185F29">
      <w:pPr>
        <w:pStyle w:val="a3"/>
        <w:spacing w:after="0" w:line="240" w:lineRule="auto"/>
        <w:ind w:left="993"/>
        <w:rPr>
          <w:lang w:val="en-US"/>
        </w:rPr>
      </w:pPr>
    </w:p>
    <w:p w:rsidR="00537714" w:rsidRPr="00185F29" w:rsidRDefault="00537714">
      <w:pPr>
        <w:rPr>
          <w:lang w:val="en-US"/>
        </w:rPr>
      </w:pPr>
    </w:p>
    <w:sectPr w:rsidR="00537714" w:rsidRPr="00185F29" w:rsidSect="0053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4DFB"/>
    <w:multiLevelType w:val="hybridMultilevel"/>
    <w:tmpl w:val="C2B65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F29"/>
    <w:rsid w:val="00185F29"/>
    <w:rsid w:val="00537714"/>
    <w:rsid w:val="005A623E"/>
    <w:rsid w:val="008C7987"/>
    <w:rsid w:val="0090550B"/>
    <w:rsid w:val="00A66372"/>
    <w:rsid w:val="00D60F76"/>
    <w:rsid w:val="00F5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2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>Krokoz™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</dc:creator>
  <cp:keywords/>
  <dc:description/>
  <cp:lastModifiedBy>Esma</cp:lastModifiedBy>
  <cp:revision>2</cp:revision>
  <dcterms:created xsi:type="dcterms:W3CDTF">2017-12-25T08:53:00Z</dcterms:created>
  <dcterms:modified xsi:type="dcterms:W3CDTF">2017-12-25T08:53:00Z</dcterms:modified>
</cp:coreProperties>
</file>