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AF851" w14:textId="77777777" w:rsidR="008C1399" w:rsidRDefault="008C1399" w:rsidP="003A05AB">
      <w:pPr>
        <w:ind w:left="-540"/>
        <w:jc w:val="center"/>
        <w:rPr>
          <w:b/>
          <w:sz w:val="56"/>
        </w:rPr>
      </w:pPr>
      <w:bookmarkStart w:id="0" w:name="_Toc170116994"/>
    </w:p>
    <w:p w14:paraId="5664F1E6" w14:textId="77777777" w:rsidR="005D10B0" w:rsidRPr="003D4CD1" w:rsidRDefault="005D10B0" w:rsidP="003A05AB">
      <w:pPr>
        <w:ind w:left="-540"/>
        <w:jc w:val="center"/>
        <w:rPr>
          <w:b/>
          <w:sz w:val="56"/>
          <w:lang w:val="az-Latn-AZ"/>
        </w:rPr>
      </w:pPr>
      <w:r w:rsidRPr="003D4CD1">
        <w:rPr>
          <w:b/>
          <w:sz w:val="56"/>
        </w:rPr>
        <w:t xml:space="preserve">The Ministry of Education of Azerbaijan Republic </w:t>
      </w:r>
    </w:p>
    <w:p w14:paraId="79A0E06A" w14:textId="77777777" w:rsidR="00085EA9" w:rsidRPr="003D4CD1" w:rsidRDefault="00085EA9" w:rsidP="003A05AB">
      <w:pPr>
        <w:ind w:left="-540"/>
        <w:jc w:val="center"/>
        <w:rPr>
          <w:b/>
          <w:sz w:val="56"/>
        </w:rPr>
      </w:pPr>
    </w:p>
    <w:p w14:paraId="2BCE36DF" w14:textId="77777777" w:rsidR="00E71D9B" w:rsidRPr="003D4CD1" w:rsidRDefault="00E71D9B" w:rsidP="003A05AB">
      <w:pPr>
        <w:ind w:left="-540"/>
        <w:rPr>
          <w:sz w:val="42"/>
        </w:rPr>
      </w:pPr>
    </w:p>
    <w:p w14:paraId="211BE64D" w14:textId="77777777" w:rsidR="002B6A9A" w:rsidRPr="003D4CD1" w:rsidRDefault="000E7918" w:rsidP="003A05AB">
      <w:pPr>
        <w:ind w:left="-540"/>
        <w:jc w:val="center"/>
        <w:rPr>
          <w:b/>
          <w:sz w:val="52"/>
          <w:szCs w:val="52"/>
        </w:rPr>
      </w:pPr>
      <w:r w:rsidRPr="000E7918">
        <w:rPr>
          <w:b/>
          <w:sz w:val="52"/>
          <w:szCs w:val="52"/>
        </w:rPr>
        <w:t>Impact of inequality on economic growth</w:t>
      </w:r>
    </w:p>
    <w:p w14:paraId="465ED0EB" w14:textId="77777777" w:rsidR="00F47FA0" w:rsidRPr="003D4CD1" w:rsidRDefault="00F47FA0" w:rsidP="003A05AB">
      <w:pPr>
        <w:ind w:left="-540"/>
        <w:jc w:val="center"/>
        <w:rPr>
          <w:sz w:val="42"/>
        </w:rPr>
      </w:pPr>
    </w:p>
    <w:p w14:paraId="3E81A302" w14:textId="77777777" w:rsidR="00F47FA0" w:rsidRPr="003D4CD1" w:rsidRDefault="00F47FA0" w:rsidP="003A05AB">
      <w:pPr>
        <w:ind w:left="-540"/>
        <w:jc w:val="center"/>
        <w:rPr>
          <w:sz w:val="42"/>
        </w:rPr>
      </w:pPr>
    </w:p>
    <w:p w14:paraId="0E576330" w14:textId="77777777" w:rsidR="00E71D9B" w:rsidRPr="003D4CD1" w:rsidRDefault="00E71D9B" w:rsidP="003A05AB">
      <w:pPr>
        <w:ind w:left="-540"/>
        <w:jc w:val="center"/>
        <w:rPr>
          <w:sz w:val="42"/>
        </w:rPr>
      </w:pPr>
    </w:p>
    <w:p w14:paraId="4984EBA6" w14:textId="77777777" w:rsidR="00F47FA0" w:rsidRPr="003D4CD1" w:rsidRDefault="00F47FA0" w:rsidP="003A05AB">
      <w:pPr>
        <w:ind w:left="-540"/>
        <w:rPr>
          <w:sz w:val="42"/>
        </w:rPr>
      </w:pPr>
    </w:p>
    <w:p w14:paraId="0B511686" w14:textId="77777777" w:rsidR="00E71D9B" w:rsidRPr="003D4CD1" w:rsidRDefault="00133DBA" w:rsidP="003A05AB">
      <w:pPr>
        <w:ind w:left="-540"/>
        <w:jc w:val="center"/>
        <w:rPr>
          <w:sz w:val="42"/>
        </w:rPr>
      </w:pPr>
      <w:r w:rsidRPr="003D4CD1">
        <w:rPr>
          <w:sz w:val="42"/>
        </w:rPr>
        <w:t>Name</w:t>
      </w:r>
    </w:p>
    <w:p w14:paraId="40D9D6A4" w14:textId="77777777" w:rsidR="006414A1" w:rsidRPr="003D4CD1" w:rsidRDefault="000E7918" w:rsidP="003A05AB">
      <w:pPr>
        <w:ind w:left="-540"/>
        <w:jc w:val="center"/>
        <w:rPr>
          <w:sz w:val="42"/>
        </w:rPr>
      </w:pPr>
      <w:r>
        <w:rPr>
          <w:sz w:val="42"/>
        </w:rPr>
        <w:t>Huseyn Shafiyev</w:t>
      </w:r>
    </w:p>
    <w:p w14:paraId="000C21C1" w14:textId="77777777" w:rsidR="00523F14" w:rsidRPr="003D4CD1" w:rsidRDefault="00523F14" w:rsidP="003A05AB">
      <w:pPr>
        <w:ind w:left="-540"/>
        <w:rPr>
          <w:sz w:val="42"/>
        </w:rPr>
      </w:pPr>
    </w:p>
    <w:p w14:paraId="6C77AA39" w14:textId="77777777" w:rsidR="00523F14" w:rsidRPr="003D4CD1" w:rsidRDefault="00523F14" w:rsidP="003A05AB">
      <w:pPr>
        <w:ind w:left="-540"/>
        <w:jc w:val="center"/>
        <w:rPr>
          <w:sz w:val="42"/>
        </w:rPr>
      </w:pPr>
    </w:p>
    <w:p w14:paraId="45CA46FE" w14:textId="77777777" w:rsidR="00E71D9B" w:rsidRPr="003D4CD1" w:rsidRDefault="005D10B0" w:rsidP="003A05AB">
      <w:pPr>
        <w:ind w:left="-540"/>
        <w:jc w:val="center"/>
        <w:rPr>
          <w:sz w:val="42"/>
        </w:rPr>
      </w:pPr>
      <w:r w:rsidRPr="003D4CD1">
        <w:rPr>
          <w:sz w:val="42"/>
        </w:rPr>
        <w:t xml:space="preserve">UNEC SABAH </w:t>
      </w:r>
    </w:p>
    <w:p w14:paraId="7C125051" w14:textId="77777777" w:rsidR="00523F14" w:rsidRPr="003D4CD1" w:rsidRDefault="005D10B0" w:rsidP="003A05AB">
      <w:pPr>
        <w:ind w:left="-540"/>
        <w:jc w:val="center"/>
        <w:rPr>
          <w:sz w:val="42"/>
        </w:rPr>
      </w:pPr>
      <w:r w:rsidRPr="003D4CD1">
        <w:rPr>
          <w:sz w:val="42"/>
        </w:rPr>
        <w:t xml:space="preserve">Azerbaijan State Economic University </w:t>
      </w:r>
    </w:p>
    <w:p w14:paraId="65A02FA8" w14:textId="77777777" w:rsidR="00523F14" w:rsidRPr="003D4CD1" w:rsidRDefault="00523F14" w:rsidP="003A05AB">
      <w:pPr>
        <w:ind w:left="-540"/>
        <w:jc w:val="center"/>
        <w:rPr>
          <w:sz w:val="42"/>
        </w:rPr>
      </w:pPr>
    </w:p>
    <w:p w14:paraId="4D51202A" w14:textId="77777777" w:rsidR="00523F14" w:rsidRPr="003D4CD1" w:rsidRDefault="005D10B0" w:rsidP="003A05AB">
      <w:pPr>
        <w:ind w:left="-540"/>
        <w:jc w:val="center"/>
        <w:rPr>
          <w:sz w:val="42"/>
        </w:rPr>
      </w:pPr>
      <w:r w:rsidRPr="003D4CD1">
        <w:rPr>
          <w:noProof/>
          <w:sz w:val="42"/>
          <w:lang w:val="en-US" w:eastAsia="en-US"/>
        </w:rPr>
        <w:drawing>
          <wp:inline distT="0" distB="0" distL="0" distR="0" wp14:anchorId="53B0CB56" wp14:editId="40758BF7">
            <wp:extent cx="1581150" cy="6851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6171" cy="691674"/>
                    </a:xfrm>
                    <a:prstGeom prst="rect">
                      <a:avLst/>
                    </a:prstGeom>
                  </pic:spPr>
                </pic:pic>
              </a:graphicData>
            </a:graphic>
          </wp:inline>
        </w:drawing>
      </w:r>
    </w:p>
    <w:p w14:paraId="3C4BC6D2" w14:textId="77777777" w:rsidR="005D10B0" w:rsidRPr="003D4CD1" w:rsidRDefault="005D10B0" w:rsidP="003A05AB">
      <w:pPr>
        <w:ind w:left="-540"/>
        <w:jc w:val="center"/>
        <w:rPr>
          <w:sz w:val="42"/>
        </w:rPr>
      </w:pPr>
      <w:r w:rsidRPr="003D4CD1">
        <w:rPr>
          <w:noProof/>
          <w:sz w:val="42"/>
          <w:lang w:val="en-US" w:eastAsia="en-US"/>
        </w:rPr>
        <w:drawing>
          <wp:inline distT="0" distB="0" distL="0" distR="0" wp14:anchorId="788767E1" wp14:editId="7DA92B2E">
            <wp:extent cx="1294671" cy="1072336"/>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4724" cy="1080663"/>
                    </a:xfrm>
                    <a:prstGeom prst="rect">
                      <a:avLst/>
                    </a:prstGeom>
                  </pic:spPr>
                </pic:pic>
              </a:graphicData>
            </a:graphic>
          </wp:inline>
        </w:drawing>
      </w:r>
    </w:p>
    <w:p w14:paraId="42173EC8" w14:textId="77777777" w:rsidR="00523F14" w:rsidRPr="003D4CD1" w:rsidRDefault="00523F14" w:rsidP="003A05AB">
      <w:pPr>
        <w:ind w:left="-540"/>
        <w:jc w:val="center"/>
        <w:rPr>
          <w:sz w:val="42"/>
        </w:rPr>
      </w:pPr>
    </w:p>
    <w:p w14:paraId="10D045FE" w14:textId="77777777" w:rsidR="00D1262F" w:rsidRPr="003D4CD1" w:rsidRDefault="005D10B0" w:rsidP="003A05AB">
      <w:pPr>
        <w:ind w:left="-540"/>
        <w:jc w:val="center"/>
        <w:rPr>
          <w:sz w:val="42"/>
        </w:rPr>
      </w:pPr>
      <w:r w:rsidRPr="003D4CD1">
        <w:rPr>
          <w:sz w:val="42"/>
        </w:rPr>
        <w:t>JUNE</w:t>
      </w:r>
      <w:r w:rsidR="00436F78" w:rsidRPr="003D4CD1">
        <w:rPr>
          <w:sz w:val="42"/>
        </w:rPr>
        <w:t xml:space="preserve"> 20</w:t>
      </w:r>
      <w:r w:rsidR="000E7918">
        <w:rPr>
          <w:sz w:val="42"/>
        </w:rPr>
        <w:t>19</w:t>
      </w:r>
    </w:p>
    <w:p w14:paraId="2119D1C1" w14:textId="77777777" w:rsidR="00E71D9B" w:rsidRPr="003D4CD1" w:rsidRDefault="00E71D9B" w:rsidP="00B70317">
      <w:pPr>
        <w:spacing w:line="360" w:lineRule="auto"/>
        <w:ind w:left="-540"/>
        <w:jc w:val="both"/>
      </w:pPr>
    </w:p>
    <w:p w14:paraId="7690A098" w14:textId="77777777" w:rsidR="00E71D9B" w:rsidRPr="003D4CD1" w:rsidRDefault="00E71D9B" w:rsidP="00B70317">
      <w:pPr>
        <w:spacing w:line="360" w:lineRule="auto"/>
        <w:jc w:val="both"/>
        <w:sectPr w:rsidR="00E71D9B" w:rsidRPr="003D4CD1" w:rsidSect="000C56CC">
          <w:pgSz w:w="11906" w:h="16838"/>
          <w:pgMar w:top="1440" w:right="1440" w:bottom="1440" w:left="2268" w:header="709" w:footer="709" w:gutter="0"/>
          <w:cols w:space="708"/>
          <w:docGrid w:linePitch="360"/>
        </w:sectPr>
      </w:pPr>
    </w:p>
    <w:p w14:paraId="256DCC00" w14:textId="77777777" w:rsidR="00B70317" w:rsidRDefault="00B70317" w:rsidP="00B70317">
      <w:pPr>
        <w:spacing w:line="360" w:lineRule="auto"/>
        <w:jc w:val="center"/>
        <w:rPr>
          <w:b/>
          <w:sz w:val="32"/>
        </w:rPr>
      </w:pPr>
    </w:p>
    <w:p w14:paraId="0037DB52" w14:textId="77777777" w:rsidR="00B70317" w:rsidRDefault="00B70317" w:rsidP="00B70317">
      <w:pPr>
        <w:spacing w:line="360" w:lineRule="auto"/>
        <w:jc w:val="center"/>
        <w:rPr>
          <w:b/>
          <w:sz w:val="32"/>
        </w:rPr>
      </w:pPr>
      <w:r>
        <w:rPr>
          <w:b/>
          <w:sz w:val="32"/>
        </w:rPr>
        <w:t>Summary</w:t>
      </w:r>
    </w:p>
    <w:p w14:paraId="79E5788E" w14:textId="77777777" w:rsidR="00B70317" w:rsidRDefault="00B70317" w:rsidP="00B70317">
      <w:pPr>
        <w:spacing w:line="360" w:lineRule="auto"/>
        <w:jc w:val="both"/>
        <w:rPr>
          <w:b/>
          <w:sz w:val="32"/>
        </w:rPr>
      </w:pPr>
    </w:p>
    <w:p w14:paraId="734EE063" w14:textId="77777777" w:rsidR="00B70317" w:rsidRDefault="00B70317" w:rsidP="00B70317">
      <w:pPr>
        <w:spacing w:line="360" w:lineRule="auto"/>
        <w:jc w:val="both"/>
        <w:rPr>
          <w:b/>
          <w:sz w:val="32"/>
        </w:rPr>
      </w:pPr>
    </w:p>
    <w:p w14:paraId="3403277B" w14:textId="77777777" w:rsidR="00B70317" w:rsidRDefault="00B70317" w:rsidP="00B70317">
      <w:pPr>
        <w:shd w:val="clear" w:color="auto" w:fill="FFFFFF"/>
        <w:spacing w:after="160" w:line="360" w:lineRule="auto"/>
        <w:jc w:val="both"/>
        <w:rPr>
          <w:rFonts w:ascii="Calibri" w:hAnsi="Calibri" w:cs="Calibri"/>
          <w:color w:val="222222"/>
          <w:sz w:val="22"/>
          <w:szCs w:val="22"/>
        </w:rPr>
      </w:pPr>
      <w:r>
        <w:rPr>
          <w:b/>
          <w:bCs/>
          <w:color w:val="222222"/>
          <w:sz w:val="28"/>
          <w:szCs w:val="28"/>
        </w:rPr>
        <w:t>Author of final thesis:                </w:t>
      </w:r>
      <w:r>
        <w:rPr>
          <w:color w:val="222222"/>
          <w:sz w:val="28"/>
          <w:szCs w:val="28"/>
        </w:rPr>
        <w:t>Huseyn Shafiyev</w:t>
      </w:r>
    </w:p>
    <w:p w14:paraId="780E7AB6" w14:textId="06898857" w:rsidR="00B70317" w:rsidRDefault="00B70317" w:rsidP="00DE6C88">
      <w:pPr>
        <w:shd w:val="clear" w:color="auto" w:fill="FFFFFF"/>
        <w:spacing w:after="160" w:line="360" w:lineRule="auto"/>
        <w:ind w:left="3600" w:hanging="3600"/>
        <w:jc w:val="both"/>
        <w:rPr>
          <w:rFonts w:ascii="Calibri" w:hAnsi="Calibri" w:cs="Calibri"/>
          <w:color w:val="222222"/>
          <w:sz w:val="22"/>
          <w:szCs w:val="22"/>
        </w:rPr>
      </w:pPr>
      <w:r>
        <w:rPr>
          <w:b/>
          <w:bCs/>
          <w:color w:val="222222"/>
          <w:sz w:val="28"/>
          <w:szCs w:val="28"/>
        </w:rPr>
        <w:t>Full title of final thesis:</w:t>
      </w:r>
      <w:r w:rsidR="002929EB">
        <w:rPr>
          <w:color w:val="222222"/>
          <w:sz w:val="28"/>
          <w:szCs w:val="28"/>
        </w:rPr>
        <w:t xml:space="preserve">           </w:t>
      </w:r>
      <w:r w:rsidR="002929EB">
        <w:rPr>
          <w:color w:val="222222"/>
          <w:sz w:val="28"/>
          <w:szCs w:val="28"/>
        </w:rPr>
        <w:tab/>
        <w:t xml:space="preserve">  </w:t>
      </w:r>
      <w:r w:rsidR="006255BC">
        <w:rPr>
          <w:color w:val="222222"/>
          <w:sz w:val="28"/>
          <w:szCs w:val="28"/>
        </w:rPr>
        <w:t xml:space="preserve"> </w:t>
      </w:r>
      <w:bookmarkStart w:id="1" w:name="_GoBack"/>
      <w:r w:rsidRPr="00B70317">
        <w:rPr>
          <w:color w:val="222222"/>
          <w:sz w:val="28"/>
          <w:szCs w:val="28"/>
        </w:rPr>
        <w:t>I</w:t>
      </w:r>
      <w:r w:rsidR="006255BC">
        <w:rPr>
          <w:color w:val="222222"/>
          <w:sz w:val="28"/>
          <w:szCs w:val="28"/>
        </w:rPr>
        <w:t xml:space="preserve">mpact of inequality on economic        </w:t>
      </w:r>
      <w:r w:rsidR="002929EB">
        <w:rPr>
          <w:color w:val="222222"/>
          <w:sz w:val="28"/>
          <w:szCs w:val="28"/>
        </w:rPr>
        <w:t xml:space="preserve">        </w:t>
      </w:r>
      <w:r w:rsidRPr="00B70317">
        <w:rPr>
          <w:color w:val="222222"/>
          <w:sz w:val="28"/>
          <w:szCs w:val="28"/>
        </w:rPr>
        <w:t>growth</w:t>
      </w:r>
    </w:p>
    <w:bookmarkEnd w:id="1"/>
    <w:p w14:paraId="5E86A0EF" w14:textId="77777777" w:rsidR="00B70317" w:rsidRDefault="00B70317" w:rsidP="00B70317">
      <w:pPr>
        <w:shd w:val="clear" w:color="auto" w:fill="FFFFFF"/>
        <w:spacing w:after="160" w:line="360" w:lineRule="auto"/>
        <w:jc w:val="both"/>
        <w:rPr>
          <w:rFonts w:ascii="Calibri" w:hAnsi="Calibri" w:cs="Calibri"/>
          <w:color w:val="222222"/>
          <w:sz w:val="22"/>
          <w:szCs w:val="22"/>
        </w:rPr>
      </w:pPr>
      <w:r>
        <w:rPr>
          <w:b/>
          <w:bCs/>
          <w:color w:val="222222"/>
          <w:sz w:val="28"/>
          <w:szCs w:val="28"/>
        </w:rPr>
        <w:t>Final work supervisor:              </w:t>
      </w:r>
      <w:r>
        <w:rPr>
          <w:color w:val="222222"/>
          <w:sz w:val="28"/>
          <w:szCs w:val="28"/>
        </w:rPr>
        <w:t>Prof. Rovshan Guliyev</w:t>
      </w:r>
    </w:p>
    <w:p w14:paraId="6DD8E4BC" w14:textId="6F751EB7" w:rsidR="00B70317" w:rsidRDefault="00B70317" w:rsidP="00B70317">
      <w:pPr>
        <w:shd w:val="clear" w:color="auto" w:fill="FFFFFF"/>
        <w:spacing w:after="160" w:line="360" w:lineRule="auto"/>
        <w:jc w:val="both"/>
        <w:rPr>
          <w:rFonts w:ascii="Calibri" w:hAnsi="Calibri" w:cs="Calibri"/>
          <w:color w:val="222222"/>
          <w:sz w:val="22"/>
          <w:szCs w:val="22"/>
        </w:rPr>
      </w:pPr>
      <w:r>
        <w:rPr>
          <w:b/>
          <w:bCs/>
          <w:color w:val="222222"/>
          <w:sz w:val="28"/>
          <w:szCs w:val="28"/>
        </w:rPr>
        <w:t>Place and date:                           </w:t>
      </w:r>
      <w:r>
        <w:rPr>
          <w:color w:val="222222"/>
          <w:sz w:val="28"/>
          <w:szCs w:val="28"/>
        </w:rPr>
        <w:t>Baku 2019</w:t>
      </w:r>
    </w:p>
    <w:p w14:paraId="34CC006D" w14:textId="3BE25A63" w:rsidR="00B70317" w:rsidRDefault="00B70317" w:rsidP="00B70317">
      <w:pPr>
        <w:shd w:val="clear" w:color="auto" w:fill="FFFFFF"/>
        <w:spacing w:after="160" w:line="360" w:lineRule="auto"/>
        <w:jc w:val="both"/>
        <w:rPr>
          <w:rFonts w:ascii="Calibri" w:hAnsi="Calibri" w:cs="Calibri"/>
          <w:color w:val="222222"/>
          <w:sz w:val="22"/>
          <w:szCs w:val="22"/>
        </w:rPr>
      </w:pPr>
      <w:r>
        <w:rPr>
          <w:b/>
          <w:bCs/>
          <w:color w:val="222222"/>
          <w:sz w:val="28"/>
          <w:szCs w:val="28"/>
        </w:rPr>
        <w:t>Number of pages:</w:t>
      </w:r>
      <w:r w:rsidR="003974A2">
        <w:rPr>
          <w:b/>
          <w:bCs/>
          <w:color w:val="222222"/>
          <w:sz w:val="28"/>
          <w:szCs w:val="28"/>
        </w:rPr>
        <w:tab/>
      </w:r>
      <w:r w:rsidR="003974A2">
        <w:rPr>
          <w:b/>
          <w:bCs/>
          <w:color w:val="222222"/>
          <w:sz w:val="28"/>
          <w:szCs w:val="28"/>
        </w:rPr>
        <w:tab/>
      </w:r>
      <w:r w:rsidR="003974A2">
        <w:rPr>
          <w:b/>
          <w:bCs/>
          <w:color w:val="222222"/>
          <w:sz w:val="28"/>
          <w:szCs w:val="28"/>
        </w:rPr>
        <w:tab/>
        <w:t xml:space="preserve">    </w:t>
      </w:r>
      <w:r w:rsidR="003974A2" w:rsidRPr="003974A2">
        <w:rPr>
          <w:bCs/>
          <w:color w:val="222222"/>
          <w:sz w:val="28"/>
          <w:szCs w:val="28"/>
        </w:rPr>
        <w:t xml:space="preserve"> 62</w:t>
      </w:r>
    </w:p>
    <w:p w14:paraId="11392074" w14:textId="1791E323" w:rsidR="00B70317" w:rsidRDefault="00B70317" w:rsidP="00B70317">
      <w:pPr>
        <w:shd w:val="clear" w:color="auto" w:fill="FFFFFF"/>
        <w:spacing w:after="160" w:line="360" w:lineRule="auto"/>
        <w:jc w:val="both"/>
        <w:rPr>
          <w:rFonts w:ascii="Calibri" w:hAnsi="Calibri" w:cs="Calibri"/>
          <w:color w:val="222222"/>
          <w:sz w:val="22"/>
          <w:szCs w:val="22"/>
        </w:rPr>
      </w:pPr>
      <w:r>
        <w:rPr>
          <w:b/>
          <w:bCs/>
          <w:color w:val="222222"/>
          <w:sz w:val="28"/>
          <w:szCs w:val="28"/>
        </w:rPr>
        <w:t>Number of tables:</w:t>
      </w:r>
      <w:r w:rsidR="003974A2">
        <w:rPr>
          <w:b/>
          <w:bCs/>
          <w:color w:val="222222"/>
          <w:sz w:val="28"/>
          <w:szCs w:val="28"/>
        </w:rPr>
        <w:tab/>
      </w:r>
      <w:r w:rsidR="003974A2">
        <w:rPr>
          <w:b/>
          <w:bCs/>
          <w:color w:val="222222"/>
          <w:sz w:val="28"/>
          <w:szCs w:val="28"/>
        </w:rPr>
        <w:tab/>
        <w:t xml:space="preserve">     7</w:t>
      </w:r>
    </w:p>
    <w:p w14:paraId="579EC739" w14:textId="2FF493F6" w:rsidR="00B70317" w:rsidRPr="003974A2" w:rsidRDefault="00B70317" w:rsidP="00B70317">
      <w:pPr>
        <w:shd w:val="clear" w:color="auto" w:fill="FFFFFF"/>
        <w:spacing w:after="160" w:line="360" w:lineRule="auto"/>
        <w:jc w:val="both"/>
        <w:rPr>
          <w:rFonts w:ascii="Calibri" w:hAnsi="Calibri" w:cs="Calibri"/>
          <w:color w:val="222222"/>
          <w:sz w:val="22"/>
          <w:szCs w:val="22"/>
        </w:rPr>
      </w:pPr>
      <w:r>
        <w:rPr>
          <w:b/>
          <w:bCs/>
          <w:color w:val="222222"/>
          <w:sz w:val="28"/>
          <w:szCs w:val="28"/>
        </w:rPr>
        <w:t>Number of pictures:</w:t>
      </w:r>
      <w:r w:rsidR="003974A2">
        <w:rPr>
          <w:b/>
          <w:bCs/>
          <w:color w:val="222222"/>
          <w:sz w:val="28"/>
          <w:szCs w:val="28"/>
        </w:rPr>
        <w:tab/>
      </w:r>
      <w:r w:rsidR="003974A2">
        <w:rPr>
          <w:b/>
          <w:bCs/>
          <w:color w:val="222222"/>
          <w:sz w:val="28"/>
          <w:szCs w:val="28"/>
        </w:rPr>
        <w:tab/>
        <w:t xml:space="preserve">      </w:t>
      </w:r>
      <w:r w:rsidR="003974A2" w:rsidRPr="003974A2">
        <w:rPr>
          <w:bCs/>
          <w:color w:val="222222"/>
          <w:sz w:val="28"/>
          <w:szCs w:val="28"/>
        </w:rPr>
        <w:t>9</w:t>
      </w:r>
    </w:p>
    <w:p w14:paraId="1F0C003D" w14:textId="77777777" w:rsidR="00B70317" w:rsidRPr="003974A2" w:rsidRDefault="00B70317" w:rsidP="00B70317">
      <w:pPr>
        <w:spacing w:line="360" w:lineRule="auto"/>
        <w:jc w:val="both"/>
        <w:rPr>
          <w:sz w:val="32"/>
        </w:rPr>
      </w:pPr>
      <w:r w:rsidRPr="003974A2">
        <w:rPr>
          <w:sz w:val="32"/>
        </w:rPr>
        <w:br w:type="page"/>
      </w:r>
    </w:p>
    <w:p w14:paraId="2A71D757" w14:textId="77777777" w:rsidR="00E71D9B" w:rsidRPr="003D4CD1" w:rsidRDefault="00E71D9B" w:rsidP="00E71D9B">
      <w:pPr>
        <w:rPr>
          <w:b/>
          <w:sz w:val="32"/>
        </w:rPr>
      </w:pPr>
      <w:r w:rsidRPr="003D4CD1">
        <w:rPr>
          <w:b/>
          <w:sz w:val="32"/>
        </w:rPr>
        <w:t>Acknowledgements</w:t>
      </w:r>
    </w:p>
    <w:p w14:paraId="6C5EE5E7" w14:textId="77777777" w:rsidR="00E71D9B" w:rsidRPr="003D4CD1" w:rsidRDefault="00E71D9B" w:rsidP="00ED12F1">
      <w:pPr>
        <w:rPr>
          <w:b/>
          <w:sz w:val="32"/>
        </w:rPr>
      </w:pPr>
    </w:p>
    <w:p w14:paraId="0FA6C772" w14:textId="77777777" w:rsidR="00CA6C23" w:rsidRPr="003D4CD1" w:rsidRDefault="005A18BD" w:rsidP="00CA3FB5">
      <w:pPr>
        <w:spacing w:after="360" w:line="360" w:lineRule="auto"/>
        <w:jc w:val="both"/>
        <w:rPr>
          <w:sz w:val="28"/>
          <w:szCs w:val="22"/>
        </w:rPr>
      </w:pPr>
      <w:r w:rsidRPr="003D4CD1">
        <w:rPr>
          <w:sz w:val="28"/>
          <w:szCs w:val="22"/>
        </w:rPr>
        <w:t xml:space="preserve">Firstly, I would like to thank to </w:t>
      </w:r>
      <w:r w:rsidR="000E7918">
        <w:rPr>
          <w:sz w:val="28"/>
          <w:szCs w:val="22"/>
        </w:rPr>
        <w:t>Rovshan Guliyev</w:t>
      </w:r>
      <w:r w:rsidRPr="003D4CD1">
        <w:rPr>
          <w:sz w:val="28"/>
          <w:szCs w:val="22"/>
        </w:rPr>
        <w:t xml:space="preserve"> for his valuable advice </w:t>
      </w:r>
      <w:r w:rsidR="00CA6C23" w:rsidRPr="003D4CD1">
        <w:rPr>
          <w:sz w:val="28"/>
          <w:szCs w:val="22"/>
          <w:lang w:val="en-US"/>
        </w:rPr>
        <w:t>that he</w:t>
      </w:r>
      <w:r w:rsidRPr="003D4CD1">
        <w:rPr>
          <w:sz w:val="28"/>
          <w:szCs w:val="22"/>
          <w:lang w:val="en-US"/>
        </w:rPr>
        <w:t xml:space="preserve"> </w:t>
      </w:r>
      <w:r w:rsidRPr="003D4CD1">
        <w:rPr>
          <w:sz w:val="28"/>
          <w:szCs w:val="22"/>
        </w:rPr>
        <w:t xml:space="preserve">helped me </w:t>
      </w:r>
      <w:r w:rsidR="00CA6C23" w:rsidRPr="003D4CD1">
        <w:rPr>
          <w:sz w:val="28"/>
          <w:szCs w:val="22"/>
        </w:rPr>
        <w:t>to write my dissertation and gave direction on how I must write my dissertation.</w:t>
      </w:r>
    </w:p>
    <w:p w14:paraId="0C3E074E" w14:textId="77777777" w:rsidR="00CA6C23" w:rsidRPr="003D4CD1" w:rsidRDefault="00CA6C23" w:rsidP="00CA3FB5">
      <w:pPr>
        <w:spacing w:after="360" w:line="360" w:lineRule="auto"/>
        <w:jc w:val="both"/>
        <w:rPr>
          <w:sz w:val="28"/>
          <w:szCs w:val="22"/>
        </w:rPr>
      </w:pPr>
      <w:r w:rsidRPr="003D4CD1">
        <w:rPr>
          <w:sz w:val="28"/>
          <w:szCs w:val="22"/>
        </w:rPr>
        <w:t xml:space="preserve">And also I would like to thank to my mother and my friends because they motivated me during my dissertation process, and I think without their motivation I couldn’t complete my work. </w:t>
      </w:r>
    </w:p>
    <w:p w14:paraId="42AAF93A" w14:textId="77777777" w:rsidR="00C315C0" w:rsidRPr="003D4CD1" w:rsidRDefault="00C315C0" w:rsidP="00CA6C23">
      <w:pPr>
        <w:spacing w:line="480" w:lineRule="auto"/>
        <w:jc w:val="both"/>
        <w:rPr>
          <w:b/>
          <w:sz w:val="32"/>
        </w:rPr>
      </w:pPr>
      <w:r w:rsidRPr="003D4CD1">
        <w:br w:type="page"/>
      </w:r>
      <w:r w:rsidRPr="003D4CD1">
        <w:rPr>
          <w:b/>
          <w:sz w:val="32"/>
        </w:rPr>
        <w:t>Abstract</w:t>
      </w:r>
    </w:p>
    <w:p w14:paraId="34280142" w14:textId="77777777" w:rsidR="00C315C0" w:rsidRPr="003D4CD1" w:rsidRDefault="00C315C0" w:rsidP="00C315C0">
      <w:pPr>
        <w:rPr>
          <w:b/>
          <w:sz w:val="32"/>
        </w:rPr>
      </w:pPr>
    </w:p>
    <w:p w14:paraId="4052D632" w14:textId="77777777" w:rsidR="002929EB" w:rsidRDefault="002929EB" w:rsidP="002929EB">
      <w:pPr>
        <w:pStyle w:val="AssignmentText"/>
        <w:spacing w:line="360" w:lineRule="auto"/>
        <w:ind w:firstLine="720"/>
        <w:rPr>
          <w:color w:val="000000"/>
          <w:sz w:val="28"/>
          <w:shd w:val="clear" w:color="auto" w:fill="FFFFFF"/>
        </w:rPr>
      </w:pPr>
      <w:r w:rsidRPr="002929EB">
        <w:rPr>
          <w:color w:val="000000"/>
          <w:sz w:val="28"/>
          <w:shd w:val="clear" w:color="auto" w:fill="FFFFFF"/>
        </w:rPr>
        <w:t>Economists have been studying the relationship between economic growth and inequality for more than a century. However, this issue is still unresolved, and as explained in this article, the answer to the question of how unqualified household income affects the growth of a country in both theoretical and empirical terms is still unclear. Some studies showed a positive relationship, while others showed a negative relationship, while some economists found no correlation between these variables.</w:t>
      </w:r>
    </w:p>
    <w:p w14:paraId="0DF5F1DA" w14:textId="75599D93" w:rsidR="000B6807" w:rsidRDefault="002929EB" w:rsidP="002929EB">
      <w:pPr>
        <w:pStyle w:val="AssignmentText"/>
        <w:spacing w:line="360" w:lineRule="auto"/>
        <w:ind w:firstLine="720"/>
        <w:rPr>
          <w:color w:val="000000"/>
          <w:sz w:val="28"/>
          <w:shd w:val="clear" w:color="auto" w:fill="FFFFFF"/>
          <w:lang w:val="en-US"/>
        </w:rPr>
      </w:pPr>
      <w:r w:rsidRPr="002929EB">
        <w:rPr>
          <w:color w:val="000000"/>
          <w:sz w:val="28"/>
          <w:shd w:val="clear" w:color="auto" w:fill="FFFFFF"/>
          <w:lang w:val="en-US"/>
        </w:rPr>
        <w:t>Generally speaking, there is a negative relation between the level of inequality and economic growth. Readers, however, are well awaited by the fact that a correlation does not necessarily cope with an effective relation.</w:t>
      </w:r>
      <w:r w:rsidR="008A7721">
        <w:rPr>
          <w:color w:val="000000"/>
          <w:sz w:val="28"/>
          <w:shd w:val="clear" w:color="auto" w:fill="FFFFFF"/>
          <w:lang w:val="en-US"/>
        </w:rPr>
        <w:t xml:space="preserve"> This paper</w:t>
      </w:r>
      <w:r w:rsidR="008A7721" w:rsidRPr="008A7721">
        <w:t xml:space="preserve"> </w:t>
      </w:r>
      <w:r w:rsidR="008A7721" w:rsidRPr="008A7721">
        <w:rPr>
          <w:color w:val="000000"/>
          <w:sz w:val="28"/>
          <w:shd w:val="clear" w:color="auto" w:fill="FFFFFF"/>
          <w:lang w:val="en-US"/>
        </w:rPr>
        <w:t xml:space="preserve">analyses </w:t>
      </w:r>
      <w:r w:rsidR="008A7721">
        <w:rPr>
          <w:color w:val="000000"/>
          <w:sz w:val="28"/>
          <w:shd w:val="clear" w:color="auto" w:fill="FFFFFF"/>
          <w:lang w:val="en-US"/>
        </w:rPr>
        <w:t>and compare</w:t>
      </w:r>
      <w:r w:rsidR="00427066">
        <w:rPr>
          <w:color w:val="000000"/>
          <w:sz w:val="28"/>
          <w:shd w:val="clear" w:color="auto" w:fill="FFFFFF"/>
          <w:lang w:val="en-US"/>
        </w:rPr>
        <w:t xml:space="preserve">s some of these relationships. </w:t>
      </w:r>
      <w:r w:rsidR="00427066" w:rsidRPr="00427066">
        <w:rPr>
          <w:color w:val="000000"/>
          <w:sz w:val="28"/>
          <w:shd w:val="clear" w:color="auto" w:fill="FFFFFF"/>
          <w:lang w:val="en-US"/>
        </w:rPr>
        <w:t>The</w:t>
      </w:r>
      <w:r w:rsidR="00427066">
        <w:rPr>
          <w:color w:val="000000"/>
          <w:sz w:val="28"/>
          <w:shd w:val="clear" w:color="auto" w:fill="FFFFFF"/>
          <w:lang w:val="en-US"/>
        </w:rPr>
        <w:t xml:space="preserve"> main</w:t>
      </w:r>
      <w:r w:rsidR="00427066" w:rsidRPr="00427066">
        <w:rPr>
          <w:color w:val="000000"/>
          <w:sz w:val="28"/>
          <w:shd w:val="clear" w:color="auto" w:fill="FFFFFF"/>
          <w:lang w:val="en-US"/>
        </w:rPr>
        <w:t xml:space="preserve"> focus is on the impact of inequality on long-term growth in low- and middle-income countries.</w:t>
      </w:r>
    </w:p>
    <w:p w14:paraId="0BB43317" w14:textId="77777777" w:rsidR="002929EB" w:rsidRDefault="00921B8E" w:rsidP="002929EB">
      <w:pPr>
        <w:pStyle w:val="AssignmentText"/>
        <w:spacing w:line="360" w:lineRule="auto"/>
        <w:ind w:firstLine="720"/>
        <w:rPr>
          <w:color w:val="000000"/>
          <w:sz w:val="28"/>
          <w:shd w:val="clear" w:color="auto" w:fill="FFFFFF"/>
          <w:lang w:val="en-US"/>
        </w:rPr>
      </w:pPr>
      <w:r>
        <w:rPr>
          <w:color w:val="000000"/>
          <w:sz w:val="28"/>
          <w:shd w:val="clear" w:color="auto" w:fill="FFFFFF"/>
          <w:lang w:val="en-US"/>
        </w:rPr>
        <w:t xml:space="preserve">However, there are many channels which show inequality can damage economic growth. </w:t>
      </w:r>
      <w:r w:rsidR="002929EB" w:rsidRPr="002929EB">
        <w:rPr>
          <w:color w:val="000000"/>
          <w:sz w:val="28"/>
          <w:shd w:val="clear" w:color="auto" w:fill="FFFFFF"/>
          <w:lang w:val="en-US"/>
        </w:rPr>
        <w:t>There are two main lines of reasoning in the literature on political economy: one says that inequality can cause investment to be discouraged by applying redistributive policies, and another appoints rich people who are capable of prejudicing property rights and favors them.</w:t>
      </w:r>
    </w:p>
    <w:p w14:paraId="0DE4FF70" w14:textId="1B18A232" w:rsidR="003F33F0" w:rsidRDefault="003F33F0" w:rsidP="002929EB">
      <w:pPr>
        <w:pStyle w:val="AssignmentText"/>
        <w:spacing w:line="360" w:lineRule="auto"/>
        <w:ind w:firstLine="720"/>
        <w:rPr>
          <w:color w:val="000000"/>
          <w:sz w:val="28"/>
          <w:shd w:val="clear" w:color="auto" w:fill="FFFFFF"/>
          <w:lang w:val="en-US"/>
        </w:rPr>
      </w:pPr>
      <w:r w:rsidRPr="003F33F0">
        <w:rPr>
          <w:color w:val="000000"/>
          <w:sz w:val="28"/>
          <w:shd w:val="clear" w:color="auto" w:fill="FFFFFF"/>
          <w:lang w:val="en-US"/>
        </w:rPr>
        <w:t>In some literature</w:t>
      </w:r>
      <w:r>
        <w:rPr>
          <w:color w:val="000000"/>
          <w:sz w:val="28"/>
          <w:shd w:val="clear" w:color="auto" w:fill="FFFFFF"/>
          <w:lang w:val="en-US"/>
        </w:rPr>
        <w:t>s which focus</w:t>
      </w:r>
      <w:r w:rsidRPr="003F33F0">
        <w:rPr>
          <w:color w:val="000000"/>
          <w:sz w:val="28"/>
          <w:shd w:val="clear" w:color="auto" w:fill="FFFFFF"/>
          <w:lang w:val="en-US"/>
        </w:rPr>
        <w:t xml:space="preserve"> on development economics emphasizes that inequality can cause poverty traps b</w:t>
      </w:r>
      <w:r>
        <w:rPr>
          <w:color w:val="000000"/>
          <w:sz w:val="28"/>
          <w:shd w:val="clear" w:color="auto" w:fill="FFFFFF"/>
          <w:lang w:val="en-US"/>
        </w:rPr>
        <w:t xml:space="preserve">y leading to credit constraints. For this reason, consumer markets cannot be large enough for making </w:t>
      </w:r>
      <w:r w:rsidRPr="003F33F0">
        <w:rPr>
          <w:color w:val="000000"/>
          <w:sz w:val="28"/>
          <w:shd w:val="clear" w:color="auto" w:fill="FFFFFF"/>
          <w:lang w:val="en-US"/>
        </w:rPr>
        <w:t>industrialization</w:t>
      </w:r>
      <w:r>
        <w:rPr>
          <w:color w:val="000000"/>
          <w:sz w:val="28"/>
          <w:shd w:val="clear" w:color="auto" w:fill="FFFFFF"/>
          <w:lang w:val="en-US"/>
        </w:rPr>
        <w:t xml:space="preserve"> possible.</w:t>
      </w:r>
      <w:r w:rsidR="000247A9">
        <w:rPr>
          <w:color w:val="000000"/>
          <w:sz w:val="28"/>
          <w:shd w:val="clear" w:color="auto" w:fill="FFFFFF"/>
          <w:lang w:val="en-US"/>
        </w:rPr>
        <w:t xml:space="preserve"> I</w:t>
      </w:r>
      <w:r w:rsidR="000247A9" w:rsidRPr="000247A9">
        <w:rPr>
          <w:color w:val="000000"/>
          <w:sz w:val="28"/>
          <w:shd w:val="clear" w:color="auto" w:fill="FFFFFF"/>
          <w:lang w:val="en-US"/>
        </w:rPr>
        <w:t>n addition, in the macroeconomic literature</w:t>
      </w:r>
      <w:r w:rsidR="00B0037E">
        <w:rPr>
          <w:color w:val="000000"/>
          <w:sz w:val="28"/>
          <w:shd w:val="clear" w:color="auto" w:fill="FFFFFF"/>
          <w:lang w:val="en-US"/>
        </w:rPr>
        <w:t>, statistics</w:t>
      </w:r>
      <w:r w:rsidR="00D85899">
        <w:rPr>
          <w:color w:val="000000"/>
          <w:sz w:val="28"/>
          <w:shd w:val="clear" w:color="auto" w:fill="FFFFFF"/>
          <w:lang w:val="en-US"/>
        </w:rPr>
        <w:t xml:space="preserve"> show</w:t>
      </w:r>
      <w:r w:rsidR="000247A9" w:rsidRPr="000247A9">
        <w:rPr>
          <w:color w:val="000000"/>
          <w:sz w:val="28"/>
          <w:shd w:val="clear" w:color="auto" w:fill="FFFFFF"/>
          <w:lang w:val="en-US"/>
        </w:rPr>
        <w:t xml:space="preserve"> that the inability of unequal countries may lead to unequal allocation of costs of the macroeconomic programs and cannot achieve sustainable growth.</w:t>
      </w:r>
    </w:p>
    <w:p w14:paraId="1ECF631E" w14:textId="77777777" w:rsidR="002929EB" w:rsidRDefault="002929EB" w:rsidP="00A610B2">
      <w:pPr>
        <w:spacing w:line="360" w:lineRule="auto"/>
        <w:jc w:val="both"/>
        <w:rPr>
          <w:color w:val="000000"/>
          <w:sz w:val="28"/>
          <w:szCs w:val="22"/>
          <w:shd w:val="clear" w:color="auto" w:fill="FFFFFF"/>
          <w:lang w:val="en-US"/>
        </w:rPr>
      </w:pPr>
      <w:r w:rsidRPr="002929EB">
        <w:rPr>
          <w:color w:val="000000"/>
          <w:sz w:val="28"/>
          <w:szCs w:val="22"/>
          <w:shd w:val="clear" w:color="auto" w:fill="FFFFFF"/>
          <w:lang w:val="en-US"/>
        </w:rPr>
        <w:t>Some applied econometric studies have been unable to show a net pattern of the relationship between inequality and growth in the causal relationship. These studies may have many problems: reversal caution, measurement error, sample bias, and non-linearity are some of these barriers.</w:t>
      </w:r>
    </w:p>
    <w:p w14:paraId="27EB96F6" w14:textId="77777777" w:rsidR="002929EB" w:rsidRDefault="002929EB" w:rsidP="00A610B2">
      <w:pPr>
        <w:spacing w:line="360" w:lineRule="auto"/>
        <w:jc w:val="both"/>
        <w:rPr>
          <w:color w:val="000000"/>
          <w:sz w:val="28"/>
          <w:szCs w:val="22"/>
          <w:shd w:val="clear" w:color="auto" w:fill="FFFFFF"/>
          <w:lang w:val="en-US"/>
        </w:rPr>
      </w:pPr>
    </w:p>
    <w:p w14:paraId="0E7728FC" w14:textId="20CE4893" w:rsidR="00A610B2" w:rsidRDefault="00A610B2" w:rsidP="00A610B2">
      <w:pPr>
        <w:spacing w:line="360" w:lineRule="auto"/>
        <w:jc w:val="both"/>
        <w:rPr>
          <w:b/>
          <w:color w:val="000000"/>
          <w:sz w:val="28"/>
          <w:shd w:val="clear" w:color="auto" w:fill="FFFFFF"/>
          <w:lang w:val="en-US"/>
        </w:rPr>
      </w:pPr>
      <w:r w:rsidRPr="00874462">
        <w:rPr>
          <w:b/>
          <w:i/>
          <w:sz w:val="28"/>
          <w:lang w:eastAsia="en-US"/>
        </w:rPr>
        <w:t>Key words:</w:t>
      </w:r>
      <w:r w:rsidR="002929EB">
        <w:rPr>
          <w:b/>
          <w:i/>
          <w:sz w:val="28"/>
          <w:lang w:eastAsia="en-US"/>
        </w:rPr>
        <w:t xml:space="preserve"> </w:t>
      </w:r>
      <w:r w:rsidR="002929EB" w:rsidRPr="002929EB">
        <w:rPr>
          <w:b/>
          <w:sz w:val="28"/>
          <w:lang w:eastAsia="en-US"/>
        </w:rPr>
        <w:t>Unequal</w:t>
      </w:r>
      <w:r w:rsidRPr="00874462">
        <w:rPr>
          <w:b/>
          <w:color w:val="000000"/>
          <w:sz w:val="28"/>
          <w:shd w:val="clear" w:color="auto" w:fill="FFFFFF"/>
        </w:rPr>
        <w:t xml:space="preserve"> household income, </w:t>
      </w:r>
      <w:r w:rsidRPr="00874462">
        <w:rPr>
          <w:b/>
          <w:color w:val="000000"/>
          <w:sz w:val="28"/>
          <w:shd w:val="clear" w:color="auto" w:fill="FFFFFF"/>
          <w:lang w:val="en-US"/>
        </w:rPr>
        <w:t>low- and middle-income countries</w:t>
      </w:r>
      <w:r w:rsidRPr="00874462">
        <w:rPr>
          <w:b/>
          <w:i/>
          <w:sz w:val="28"/>
          <w:lang w:eastAsia="en-US"/>
        </w:rPr>
        <w:t xml:space="preserve"> </w:t>
      </w:r>
      <w:r w:rsidRPr="00874462">
        <w:rPr>
          <w:b/>
          <w:color w:val="000000"/>
          <w:sz w:val="28"/>
          <w:shd w:val="clear" w:color="auto" w:fill="FFFFFF"/>
          <w:lang w:val="en-US"/>
        </w:rPr>
        <w:t>poverty traps,</w:t>
      </w:r>
      <w:r w:rsidR="00874462" w:rsidRPr="00874462">
        <w:rPr>
          <w:b/>
          <w:color w:val="000000"/>
          <w:sz w:val="28"/>
          <w:shd w:val="clear" w:color="auto" w:fill="FFFFFF"/>
          <w:lang w:val="en-US"/>
        </w:rPr>
        <w:t xml:space="preserve"> macroeconomic literature, revers</w:t>
      </w:r>
      <w:r w:rsidR="00874462" w:rsidRPr="00874462">
        <w:rPr>
          <w:b/>
          <w:color w:val="000000"/>
          <w:sz w:val="28"/>
          <w:shd w:val="clear" w:color="auto" w:fill="FFFFFF"/>
          <w:lang w:val="ru-RU"/>
        </w:rPr>
        <w:t>а</w:t>
      </w:r>
      <w:r w:rsidR="00874462" w:rsidRPr="00874462">
        <w:rPr>
          <w:b/>
          <w:color w:val="000000"/>
          <w:sz w:val="28"/>
          <w:shd w:val="clear" w:color="auto" w:fill="FFFFFF"/>
          <w:lang w:val="en-US"/>
        </w:rPr>
        <w:t>l c</w:t>
      </w:r>
      <w:r w:rsidR="00874462" w:rsidRPr="00874462">
        <w:rPr>
          <w:b/>
          <w:color w:val="000000"/>
          <w:sz w:val="28"/>
          <w:shd w:val="clear" w:color="auto" w:fill="FFFFFF"/>
          <w:lang w:val="ru-RU"/>
        </w:rPr>
        <w:t>а</w:t>
      </w:r>
      <w:r w:rsidR="00874462" w:rsidRPr="00874462">
        <w:rPr>
          <w:b/>
          <w:color w:val="000000"/>
          <w:sz w:val="28"/>
          <w:shd w:val="clear" w:color="auto" w:fill="FFFFFF"/>
          <w:lang w:val="en-US"/>
        </w:rPr>
        <w:t>us</w:t>
      </w:r>
      <w:r w:rsidR="00874462" w:rsidRPr="00874462">
        <w:rPr>
          <w:b/>
          <w:color w:val="000000"/>
          <w:sz w:val="28"/>
          <w:shd w:val="clear" w:color="auto" w:fill="FFFFFF"/>
          <w:lang w:val="ru-RU"/>
        </w:rPr>
        <w:t>а</w:t>
      </w:r>
      <w:r w:rsidR="002929EB">
        <w:rPr>
          <w:b/>
          <w:color w:val="000000"/>
          <w:sz w:val="28"/>
          <w:shd w:val="clear" w:color="auto" w:fill="FFFFFF"/>
          <w:lang w:val="en-US"/>
        </w:rPr>
        <w:t>lity</w:t>
      </w:r>
      <w:r w:rsidR="00874462" w:rsidRPr="00874462">
        <w:rPr>
          <w:b/>
          <w:color w:val="000000"/>
          <w:sz w:val="28"/>
          <w:shd w:val="clear" w:color="auto" w:fill="FFFFFF"/>
          <w:lang w:val="en-US"/>
        </w:rPr>
        <w:t>, measurement error</w:t>
      </w:r>
      <w:r w:rsidR="00874462">
        <w:rPr>
          <w:b/>
          <w:color w:val="000000"/>
          <w:sz w:val="28"/>
          <w:shd w:val="clear" w:color="auto" w:fill="FFFFFF"/>
          <w:lang w:val="en-US"/>
        </w:rPr>
        <w:t>.</w:t>
      </w:r>
    </w:p>
    <w:p w14:paraId="0C6C1282" w14:textId="77777777" w:rsidR="00874462" w:rsidRPr="00874462" w:rsidRDefault="00874462" w:rsidP="00A610B2">
      <w:pPr>
        <w:spacing w:line="360" w:lineRule="auto"/>
        <w:jc w:val="both"/>
        <w:rPr>
          <w:b/>
          <w:color w:val="000000"/>
          <w:sz w:val="28"/>
          <w:shd w:val="clear" w:color="auto" w:fill="FFFFFF"/>
          <w:lang w:val="en-US"/>
        </w:rPr>
        <w:sectPr w:rsidR="00874462" w:rsidRPr="00874462" w:rsidSect="00A1174C">
          <w:footerReference w:type="default" r:id="rId13"/>
          <w:pgSz w:w="11906" w:h="16838"/>
          <w:pgMar w:top="1440" w:right="1440" w:bottom="1440" w:left="2268" w:header="708" w:footer="708" w:gutter="0"/>
          <w:pgNumType w:start="1"/>
          <w:cols w:space="708"/>
          <w:docGrid w:linePitch="360"/>
        </w:sectPr>
      </w:pPr>
    </w:p>
    <w:sdt>
      <w:sdtPr>
        <w:rPr>
          <w:rFonts w:ascii="Times New Roman" w:hAnsi="Times New Roman"/>
          <w:b w:val="0"/>
          <w:bCs w:val="0"/>
          <w:color w:val="auto"/>
          <w:sz w:val="24"/>
          <w:szCs w:val="24"/>
          <w:lang w:val="en-GB" w:eastAsia="en-GB"/>
        </w:rPr>
        <w:id w:val="-1609584352"/>
        <w:docPartObj>
          <w:docPartGallery w:val="Table of Contents"/>
          <w:docPartUnique/>
        </w:docPartObj>
      </w:sdtPr>
      <w:sdtEndPr>
        <w:rPr>
          <w:noProof/>
        </w:rPr>
      </w:sdtEndPr>
      <w:sdtContent>
        <w:p w14:paraId="290EB93B" w14:textId="77777777" w:rsidR="00931B26" w:rsidRPr="004820A2" w:rsidRDefault="00931B26">
          <w:pPr>
            <w:pStyle w:val="TOCHeading"/>
            <w:rPr>
              <w:rFonts w:ascii="Times New Roman" w:hAnsi="Times New Roman"/>
              <w:sz w:val="56"/>
            </w:rPr>
          </w:pPr>
          <w:r w:rsidRPr="004820A2">
            <w:rPr>
              <w:rFonts w:ascii="Times New Roman" w:hAnsi="Times New Roman"/>
              <w:sz w:val="56"/>
            </w:rPr>
            <w:t>Contents</w:t>
          </w:r>
        </w:p>
        <w:p w14:paraId="21763A6D" w14:textId="77777777" w:rsidR="004A242B" w:rsidRDefault="00931B26" w:rsidP="005E4690">
          <w:pPr>
            <w:pStyle w:val="TOC1"/>
            <w:rPr>
              <w:rFonts w:asciiTheme="minorHAnsi" w:eastAsiaTheme="minorEastAsia" w:hAnsiTheme="minorHAnsi" w:cstheme="minorBidi"/>
              <w:szCs w:val="22"/>
              <w:lang w:val="ru-RU" w:eastAsia="ru-RU"/>
            </w:rPr>
          </w:pPr>
          <w:r w:rsidRPr="004820A2">
            <w:rPr>
              <w:sz w:val="44"/>
            </w:rPr>
            <w:fldChar w:fldCharType="begin"/>
          </w:r>
          <w:r w:rsidRPr="004820A2">
            <w:rPr>
              <w:sz w:val="44"/>
            </w:rPr>
            <w:instrText xml:space="preserve"> TOC \o "1-3" \h \z \u </w:instrText>
          </w:r>
          <w:r w:rsidRPr="004820A2">
            <w:rPr>
              <w:sz w:val="44"/>
            </w:rPr>
            <w:fldChar w:fldCharType="separate"/>
          </w:r>
          <w:hyperlink w:anchor="_Toc8434882" w:history="1">
            <w:r w:rsidR="004A242B" w:rsidRPr="007B1A9F">
              <w:rPr>
                <w:rStyle w:val="Hyperlink"/>
              </w:rPr>
              <w:t>1</w:t>
            </w:r>
            <w:r w:rsidR="004A242B">
              <w:rPr>
                <w:rFonts w:asciiTheme="minorHAnsi" w:eastAsiaTheme="minorEastAsia" w:hAnsiTheme="minorHAnsi" w:cstheme="minorBidi"/>
                <w:szCs w:val="22"/>
                <w:lang w:val="ru-RU" w:eastAsia="ru-RU"/>
              </w:rPr>
              <w:tab/>
            </w:r>
            <w:r w:rsidR="004A242B" w:rsidRPr="005E4690">
              <w:rPr>
                <w:rStyle w:val="Hyperlink"/>
              </w:rPr>
              <w:t>Introduction</w:t>
            </w:r>
            <w:r w:rsidR="004A242B">
              <w:rPr>
                <w:webHidden/>
              </w:rPr>
              <w:tab/>
            </w:r>
            <w:r w:rsidR="004A242B">
              <w:rPr>
                <w:webHidden/>
              </w:rPr>
              <w:fldChar w:fldCharType="begin"/>
            </w:r>
            <w:r w:rsidR="004A242B">
              <w:rPr>
                <w:webHidden/>
              </w:rPr>
              <w:instrText xml:space="preserve"> PAGEREF _Toc8434882 \h </w:instrText>
            </w:r>
            <w:r w:rsidR="004A242B">
              <w:rPr>
                <w:webHidden/>
              </w:rPr>
            </w:r>
            <w:r w:rsidR="004A242B">
              <w:rPr>
                <w:webHidden/>
              </w:rPr>
              <w:fldChar w:fldCharType="separate"/>
            </w:r>
            <w:r w:rsidR="004A242B">
              <w:rPr>
                <w:webHidden/>
              </w:rPr>
              <w:t>1</w:t>
            </w:r>
            <w:r w:rsidR="004A242B">
              <w:rPr>
                <w:webHidden/>
              </w:rPr>
              <w:fldChar w:fldCharType="end"/>
            </w:r>
          </w:hyperlink>
        </w:p>
        <w:p w14:paraId="4FAC1B26" w14:textId="77777777" w:rsidR="004A242B" w:rsidRDefault="00CC3C31" w:rsidP="005E4690">
          <w:pPr>
            <w:pStyle w:val="TOC2"/>
            <w:rPr>
              <w:rFonts w:asciiTheme="minorHAnsi" w:eastAsiaTheme="minorEastAsia" w:hAnsiTheme="minorHAnsi" w:cstheme="minorBidi"/>
              <w:sz w:val="22"/>
              <w:szCs w:val="22"/>
              <w:lang w:val="ru-RU" w:eastAsia="ru-RU"/>
            </w:rPr>
          </w:pPr>
          <w:hyperlink w:anchor="_Toc8434883" w:history="1">
            <w:r w:rsidR="004A242B" w:rsidRPr="007B1A9F">
              <w:rPr>
                <w:rStyle w:val="Hyperlink"/>
              </w:rPr>
              <w:t>1.1</w:t>
            </w:r>
            <w:r w:rsidR="004A242B">
              <w:rPr>
                <w:rFonts w:asciiTheme="minorHAnsi" w:eastAsiaTheme="minorEastAsia" w:hAnsiTheme="minorHAnsi" w:cstheme="minorBidi"/>
                <w:sz w:val="22"/>
                <w:szCs w:val="22"/>
                <w:lang w:val="ru-RU" w:eastAsia="ru-RU"/>
              </w:rPr>
              <w:tab/>
            </w:r>
            <w:r w:rsidR="004A242B" w:rsidRPr="007B1A9F">
              <w:rPr>
                <w:rStyle w:val="Hyperlink"/>
              </w:rPr>
              <w:t>Introduction</w:t>
            </w:r>
            <w:r w:rsidR="004A242B">
              <w:rPr>
                <w:webHidden/>
              </w:rPr>
              <w:tab/>
            </w:r>
            <w:r w:rsidR="004A242B">
              <w:rPr>
                <w:webHidden/>
              </w:rPr>
              <w:fldChar w:fldCharType="begin"/>
            </w:r>
            <w:r w:rsidR="004A242B">
              <w:rPr>
                <w:webHidden/>
              </w:rPr>
              <w:instrText xml:space="preserve"> PAGEREF _Toc8434883 \h </w:instrText>
            </w:r>
            <w:r w:rsidR="004A242B">
              <w:rPr>
                <w:webHidden/>
              </w:rPr>
            </w:r>
            <w:r w:rsidR="004A242B">
              <w:rPr>
                <w:webHidden/>
              </w:rPr>
              <w:fldChar w:fldCharType="separate"/>
            </w:r>
            <w:r w:rsidR="004A242B">
              <w:rPr>
                <w:webHidden/>
              </w:rPr>
              <w:t>1</w:t>
            </w:r>
            <w:r w:rsidR="004A242B">
              <w:rPr>
                <w:webHidden/>
              </w:rPr>
              <w:fldChar w:fldCharType="end"/>
            </w:r>
          </w:hyperlink>
        </w:p>
        <w:p w14:paraId="189A5973" w14:textId="77777777" w:rsidR="004A242B" w:rsidRDefault="00CC3C31" w:rsidP="005E4690">
          <w:pPr>
            <w:pStyle w:val="TOC1"/>
            <w:rPr>
              <w:rFonts w:asciiTheme="minorHAnsi" w:eastAsiaTheme="minorEastAsia" w:hAnsiTheme="minorHAnsi" w:cstheme="minorBidi"/>
              <w:szCs w:val="22"/>
              <w:lang w:val="ru-RU" w:eastAsia="ru-RU"/>
            </w:rPr>
          </w:pPr>
          <w:hyperlink w:anchor="_Toc8434884" w:history="1">
            <w:r w:rsidR="004A242B" w:rsidRPr="007B1A9F">
              <w:rPr>
                <w:rStyle w:val="Hyperlink"/>
              </w:rPr>
              <w:t>2</w:t>
            </w:r>
            <w:r w:rsidR="004A242B">
              <w:rPr>
                <w:rFonts w:asciiTheme="minorHAnsi" w:eastAsiaTheme="minorEastAsia" w:hAnsiTheme="minorHAnsi" w:cstheme="minorBidi"/>
                <w:szCs w:val="22"/>
                <w:lang w:val="ru-RU" w:eastAsia="ru-RU"/>
              </w:rPr>
              <w:tab/>
            </w:r>
            <w:r w:rsidR="004A242B" w:rsidRPr="005E4690">
              <w:rPr>
                <w:rStyle w:val="Hyperlink"/>
              </w:rPr>
              <w:t>Theoretical</w:t>
            </w:r>
            <w:r w:rsidR="004A242B" w:rsidRPr="007B1A9F">
              <w:rPr>
                <w:rStyle w:val="Hyperlink"/>
              </w:rPr>
              <w:t xml:space="preserve"> bases of Economic inequality</w:t>
            </w:r>
            <w:r w:rsidR="004A242B">
              <w:rPr>
                <w:webHidden/>
              </w:rPr>
              <w:tab/>
            </w:r>
            <w:r w:rsidR="004A242B">
              <w:rPr>
                <w:webHidden/>
              </w:rPr>
              <w:fldChar w:fldCharType="begin"/>
            </w:r>
            <w:r w:rsidR="004A242B">
              <w:rPr>
                <w:webHidden/>
              </w:rPr>
              <w:instrText xml:space="preserve"> PAGEREF _Toc8434884 \h </w:instrText>
            </w:r>
            <w:r w:rsidR="004A242B">
              <w:rPr>
                <w:webHidden/>
              </w:rPr>
            </w:r>
            <w:r w:rsidR="004A242B">
              <w:rPr>
                <w:webHidden/>
              </w:rPr>
              <w:fldChar w:fldCharType="separate"/>
            </w:r>
            <w:r w:rsidR="004A242B">
              <w:rPr>
                <w:webHidden/>
              </w:rPr>
              <w:t>4</w:t>
            </w:r>
            <w:r w:rsidR="004A242B">
              <w:rPr>
                <w:webHidden/>
              </w:rPr>
              <w:fldChar w:fldCharType="end"/>
            </w:r>
          </w:hyperlink>
        </w:p>
        <w:p w14:paraId="74663FAE" w14:textId="77777777" w:rsidR="004A242B" w:rsidRDefault="00CC3C31" w:rsidP="005E4690">
          <w:pPr>
            <w:pStyle w:val="TOC2"/>
            <w:rPr>
              <w:rFonts w:asciiTheme="minorHAnsi" w:eastAsiaTheme="minorEastAsia" w:hAnsiTheme="minorHAnsi" w:cstheme="minorBidi"/>
              <w:sz w:val="22"/>
              <w:szCs w:val="22"/>
              <w:lang w:val="ru-RU" w:eastAsia="ru-RU"/>
            </w:rPr>
          </w:pPr>
          <w:hyperlink w:anchor="_Toc8434885" w:history="1">
            <w:r w:rsidR="004A242B" w:rsidRPr="007B1A9F">
              <w:rPr>
                <w:rStyle w:val="Hyperlink"/>
              </w:rPr>
              <w:t>2.1</w:t>
            </w:r>
            <w:r w:rsidR="004A242B">
              <w:rPr>
                <w:rFonts w:asciiTheme="minorHAnsi" w:eastAsiaTheme="minorEastAsia" w:hAnsiTheme="minorHAnsi" w:cstheme="minorBidi"/>
                <w:sz w:val="22"/>
                <w:szCs w:val="22"/>
                <w:lang w:val="ru-RU" w:eastAsia="ru-RU"/>
              </w:rPr>
              <w:tab/>
            </w:r>
            <w:r w:rsidR="004A242B" w:rsidRPr="007B1A9F">
              <w:rPr>
                <w:rStyle w:val="Hyperlink"/>
              </w:rPr>
              <w:t>Theoretical Approaches to the Effect of Income Inequality on Economic Growth</w:t>
            </w:r>
            <w:r w:rsidR="004A242B">
              <w:rPr>
                <w:webHidden/>
              </w:rPr>
              <w:tab/>
            </w:r>
            <w:r w:rsidR="004A242B">
              <w:rPr>
                <w:webHidden/>
              </w:rPr>
              <w:fldChar w:fldCharType="begin"/>
            </w:r>
            <w:r w:rsidR="004A242B">
              <w:rPr>
                <w:webHidden/>
              </w:rPr>
              <w:instrText xml:space="preserve"> PAGEREF _Toc8434885 \h </w:instrText>
            </w:r>
            <w:r w:rsidR="004A242B">
              <w:rPr>
                <w:webHidden/>
              </w:rPr>
            </w:r>
            <w:r w:rsidR="004A242B">
              <w:rPr>
                <w:webHidden/>
              </w:rPr>
              <w:fldChar w:fldCharType="separate"/>
            </w:r>
            <w:r w:rsidR="004A242B">
              <w:rPr>
                <w:webHidden/>
              </w:rPr>
              <w:t>4</w:t>
            </w:r>
            <w:r w:rsidR="004A242B">
              <w:rPr>
                <w:webHidden/>
              </w:rPr>
              <w:fldChar w:fldCharType="end"/>
            </w:r>
          </w:hyperlink>
        </w:p>
        <w:p w14:paraId="11A5EB2D" w14:textId="77777777" w:rsidR="004A242B" w:rsidRDefault="00CC3C31" w:rsidP="005E4690">
          <w:pPr>
            <w:pStyle w:val="TOC2"/>
            <w:rPr>
              <w:rFonts w:asciiTheme="minorHAnsi" w:eastAsiaTheme="minorEastAsia" w:hAnsiTheme="minorHAnsi" w:cstheme="minorBidi"/>
              <w:sz w:val="22"/>
              <w:szCs w:val="22"/>
              <w:lang w:val="ru-RU" w:eastAsia="ru-RU"/>
            </w:rPr>
          </w:pPr>
          <w:hyperlink w:anchor="_Toc8434886" w:history="1">
            <w:r w:rsidR="004A242B" w:rsidRPr="007B1A9F">
              <w:rPr>
                <w:rStyle w:val="Hyperlink"/>
              </w:rPr>
              <w:t>2.2</w:t>
            </w:r>
            <w:r w:rsidR="004A242B">
              <w:rPr>
                <w:rFonts w:asciiTheme="minorHAnsi" w:eastAsiaTheme="minorEastAsia" w:hAnsiTheme="minorHAnsi" w:cstheme="minorBidi"/>
                <w:sz w:val="22"/>
                <w:szCs w:val="22"/>
                <w:lang w:val="ru-RU" w:eastAsia="ru-RU"/>
              </w:rPr>
              <w:tab/>
            </w:r>
            <w:r w:rsidR="004A242B" w:rsidRPr="007B1A9F">
              <w:rPr>
                <w:rStyle w:val="Hyperlink"/>
              </w:rPr>
              <w:t>Theoretical approach explaining economic inequality and its consequences</w:t>
            </w:r>
            <w:r w:rsidR="004A242B">
              <w:rPr>
                <w:webHidden/>
              </w:rPr>
              <w:tab/>
            </w:r>
            <w:r w:rsidR="004A242B">
              <w:rPr>
                <w:webHidden/>
              </w:rPr>
              <w:fldChar w:fldCharType="begin"/>
            </w:r>
            <w:r w:rsidR="004A242B">
              <w:rPr>
                <w:webHidden/>
              </w:rPr>
              <w:instrText xml:space="preserve"> PAGEREF _Toc8434886 \h </w:instrText>
            </w:r>
            <w:r w:rsidR="004A242B">
              <w:rPr>
                <w:webHidden/>
              </w:rPr>
            </w:r>
            <w:r w:rsidR="004A242B">
              <w:rPr>
                <w:webHidden/>
              </w:rPr>
              <w:fldChar w:fldCharType="separate"/>
            </w:r>
            <w:r w:rsidR="004A242B">
              <w:rPr>
                <w:webHidden/>
              </w:rPr>
              <w:t>13</w:t>
            </w:r>
            <w:r w:rsidR="004A242B">
              <w:rPr>
                <w:webHidden/>
              </w:rPr>
              <w:fldChar w:fldCharType="end"/>
            </w:r>
          </w:hyperlink>
        </w:p>
        <w:p w14:paraId="253BE5A8" w14:textId="77777777" w:rsidR="004A242B" w:rsidRDefault="00CC3C31" w:rsidP="005E4690">
          <w:pPr>
            <w:pStyle w:val="TOC2"/>
            <w:rPr>
              <w:rFonts w:asciiTheme="minorHAnsi" w:eastAsiaTheme="minorEastAsia" w:hAnsiTheme="minorHAnsi" w:cstheme="minorBidi"/>
              <w:sz w:val="22"/>
              <w:szCs w:val="22"/>
              <w:lang w:val="ru-RU" w:eastAsia="ru-RU"/>
            </w:rPr>
          </w:pPr>
          <w:hyperlink w:anchor="_Toc8434887" w:history="1">
            <w:r w:rsidR="004A242B" w:rsidRPr="007B1A9F">
              <w:rPr>
                <w:rStyle w:val="Hyperlink"/>
              </w:rPr>
              <w:t>2.3</w:t>
            </w:r>
            <w:r w:rsidR="004A242B">
              <w:rPr>
                <w:rFonts w:asciiTheme="minorHAnsi" w:eastAsiaTheme="minorEastAsia" w:hAnsiTheme="minorHAnsi" w:cstheme="minorBidi"/>
                <w:sz w:val="22"/>
                <w:szCs w:val="22"/>
                <w:lang w:val="ru-RU" w:eastAsia="ru-RU"/>
              </w:rPr>
              <w:tab/>
            </w:r>
            <w:r w:rsidR="004A242B" w:rsidRPr="007B1A9F">
              <w:rPr>
                <w:rStyle w:val="Hyperlink"/>
              </w:rPr>
              <w:t>Methods of measuring inequality</w:t>
            </w:r>
            <w:r w:rsidR="004A242B">
              <w:rPr>
                <w:webHidden/>
              </w:rPr>
              <w:tab/>
            </w:r>
            <w:r w:rsidR="004A242B">
              <w:rPr>
                <w:webHidden/>
              </w:rPr>
              <w:fldChar w:fldCharType="begin"/>
            </w:r>
            <w:r w:rsidR="004A242B">
              <w:rPr>
                <w:webHidden/>
              </w:rPr>
              <w:instrText xml:space="preserve"> PAGEREF _Toc8434887 \h </w:instrText>
            </w:r>
            <w:r w:rsidR="004A242B">
              <w:rPr>
                <w:webHidden/>
              </w:rPr>
            </w:r>
            <w:r w:rsidR="004A242B">
              <w:rPr>
                <w:webHidden/>
              </w:rPr>
              <w:fldChar w:fldCharType="separate"/>
            </w:r>
            <w:r w:rsidR="004A242B">
              <w:rPr>
                <w:webHidden/>
              </w:rPr>
              <w:t>27</w:t>
            </w:r>
            <w:r w:rsidR="004A242B">
              <w:rPr>
                <w:webHidden/>
              </w:rPr>
              <w:fldChar w:fldCharType="end"/>
            </w:r>
          </w:hyperlink>
        </w:p>
        <w:p w14:paraId="05E61C60" w14:textId="77777777" w:rsidR="004A242B" w:rsidRPr="005E4690" w:rsidRDefault="00CC3C31" w:rsidP="005E4690">
          <w:pPr>
            <w:pStyle w:val="TOC1"/>
            <w:rPr>
              <w:rFonts w:asciiTheme="minorHAnsi" w:eastAsiaTheme="minorEastAsia" w:hAnsiTheme="minorHAnsi" w:cstheme="minorBidi"/>
              <w:szCs w:val="22"/>
              <w:lang w:val="ru-RU" w:eastAsia="ru-RU"/>
            </w:rPr>
          </w:pPr>
          <w:hyperlink w:anchor="_Toc8434888" w:history="1">
            <w:r w:rsidR="004A242B" w:rsidRPr="005E4690">
              <w:rPr>
                <w:rStyle w:val="Hyperlink"/>
              </w:rPr>
              <w:t>3</w:t>
            </w:r>
            <w:r w:rsidR="004A242B" w:rsidRPr="005E4690">
              <w:rPr>
                <w:rFonts w:asciiTheme="minorHAnsi" w:eastAsiaTheme="minorEastAsia" w:hAnsiTheme="minorHAnsi" w:cstheme="minorBidi"/>
                <w:szCs w:val="22"/>
                <w:lang w:val="ru-RU" w:eastAsia="ru-RU"/>
              </w:rPr>
              <w:tab/>
            </w:r>
            <w:r w:rsidR="004A242B" w:rsidRPr="005E4690">
              <w:rPr>
                <w:rStyle w:val="Hyperlink"/>
              </w:rPr>
              <w:t>Effects of Inequality on Economic growth</w:t>
            </w:r>
            <w:r w:rsidR="004A242B" w:rsidRPr="005E4690">
              <w:rPr>
                <w:webHidden/>
              </w:rPr>
              <w:tab/>
            </w:r>
            <w:r w:rsidR="004A242B" w:rsidRPr="005E4690">
              <w:rPr>
                <w:webHidden/>
              </w:rPr>
              <w:fldChar w:fldCharType="begin"/>
            </w:r>
            <w:r w:rsidR="004A242B" w:rsidRPr="005E4690">
              <w:rPr>
                <w:webHidden/>
              </w:rPr>
              <w:instrText xml:space="preserve"> PAGEREF _Toc8434888 \h </w:instrText>
            </w:r>
            <w:r w:rsidR="004A242B" w:rsidRPr="005E4690">
              <w:rPr>
                <w:webHidden/>
              </w:rPr>
            </w:r>
            <w:r w:rsidR="004A242B" w:rsidRPr="005E4690">
              <w:rPr>
                <w:webHidden/>
              </w:rPr>
              <w:fldChar w:fldCharType="separate"/>
            </w:r>
            <w:r w:rsidR="004A242B" w:rsidRPr="005E4690">
              <w:rPr>
                <w:webHidden/>
              </w:rPr>
              <w:t>34</w:t>
            </w:r>
            <w:r w:rsidR="004A242B" w:rsidRPr="005E4690">
              <w:rPr>
                <w:webHidden/>
              </w:rPr>
              <w:fldChar w:fldCharType="end"/>
            </w:r>
          </w:hyperlink>
        </w:p>
        <w:p w14:paraId="67DB4725" w14:textId="77777777" w:rsidR="004A242B" w:rsidRDefault="00CC3C31" w:rsidP="005E4690">
          <w:pPr>
            <w:pStyle w:val="TOC2"/>
            <w:rPr>
              <w:rFonts w:asciiTheme="minorHAnsi" w:eastAsiaTheme="minorEastAsia" w:hAnsiTheme="minorHAnsi" w:cstheme="minorBidi"/>
              <w:sz w:val="22"/>
              <w:szCs w:val="22"/>
              <w:lang w:val="ru-RU" w:eastAsia="ru-RU"/>
            </w:rPr>
          </w:pPr>
          <w:hyperlink w:anchor="_Toc8434889" w:history="1">
            <w:r w:rsidR="004A242B" w:rsidRPr="007B1A9F">
              <w:rPr>
                <w:rStyle w:val="Hyperlink"/>
                <w:lang w:val="en-US"/>
              </w:rPr>
              <w:t>3.1</w:t>
            </w:r>
            <w:r w:rsidR="004A242B" w:rsidRPr="005E4690">
              <w:rPr>
                <w:rFonts w:asciiTheme="minorHAnsi" w:eastAsiaTheme="minorEastAsia" w:hAnsiTheme="minorHAnsi" w:cstheme="minorBidi"/>
                <w:sz w:val="24"/>
                <w:szCs w:val="22"/>
                <w:lang w:val="ru-RU" w:eastAsia="ru-RU"/>
              </w:rPr>
              <w:tab/>
            </w:r>
            <w:r w:rsidR="004A242B" w:rsidRPr="005E4690">
              <w:rPr>
                <w:rStyle w:val="Hyperlink"/>
                <w:lang w:val="en-US"/>
              </w:rPr>
              <w:t>Analysis of the impact of Inequality on Economic growth of countries</w:t>
            </w:r>
            <w:r w:rsidR="004A242B">
              <w:rPr>
                <w:webHidden/>
              </w:rPr>
              <w:tab/>
            </w:r>
            <w:r w:rsidR="004A242B">
              <w:rPr>
                <w:webHidden/>
              </w:rPr>
              <w:fldChar w:fldCharType="begin"/>
            </w:r>
            <w:r w:rsidR="004A242B">
              <w:rPr>
                <w:webHidden/>
              </w:rPr>
              <w:instrText xml:space="preserve"> PAGEREF _Toc8434889 \h </w:instrText>
            </w:r>
            <w:r w:rsidR="004A242B">
              <w:rPr>
                <w:webHidden/>
              </w:rPr>
            </w:r>
            <w:r w:rsidR="004A242B">
              <w:rPr>
                <w:webHidden/>
              </w:rPr>
              <w:fldChar w:fldCharType="separate"/>
            </w:r>
            <w:r w:rsidR="004A242B">
              <w:rPr>
                <w:webHidden/>
              </w:rPr>
              <w:t>34</w:t>
            </w:r>
            <w:r w:rsidR="004A242B">
              <w:rPr>
                <w:webHidden/>
              </w:rPr>
              <w:fldChar w:fldCharType="end"/>
            </w:r>
          </w:hyperlink>
        </w:p>
        <w:p w14:paraId="62454017" w14:textId="77777777" w:rsidR="004A242B" w:rsidRPr="005E4690" w:rsidRDefault="00CC3C31">
          <w:pPr>
            <w:pStyle w:val="TOC3"/>
            <w:rPr>
              <w:rFonts w:asciiTheme="minorHAnsi" w:eastAsiaTheme="minorEastAsia" w:hAnsiTheme="minorHAnsi" w:cstheme="minorBidi"/>
              <w:i w:val="0"/>
              <w:iCs w:val="0"/>
              <w:noProof/>
              <w:sz w:val="24"/>
              <w:szCs w:val="24"/>
              <w:lang w:val="ru-RU" w:eastAsia="ru-RU"/>
            </w:rPr>
          </w:pPr>
          <w:hyperlink w:anchor="_Toc8434890" w:history="1">
            <w:r w:rsidR="004A242B" w:rsidRPr="005E4690">
              <w:rPr>
                <w:rStyle w:val="Hyperlink"/>
                <w:b/>
                <w:noProof/>
                <w:sz w:val="24"/>
                <w:szCs w:val="24"/>
                <w:lang w:val="en-US"/>
              </w:rPr>
              <w:t>3.1.1</w:t>
            </w:r>
            <w:r w:rsidR="004A242B" w:rsidRPr="005E4690">
              <w:rPr>
                <w:rFonts w:asciiTheme="minorHAnsi" w:eastAsiaTheme="minorEastAsia" w:hAnsiTheme="minorHAnsi" w:cstheme="minorBidi"/>
                <w:i w:val="0"/>
                <w:iCs w:val="0"/>
                <w:noProof/>
                <w:sz w:val="24"/>
                <w:szCs w:val="24"/>
                <w:lang w:val="ru-RU" w:eastAsia="ru-RU"/>
              </w:rPr>
              <w:tab/>
            </w:r>
            <w:r w:rsidR="004A242B" w:rsidRPr="005E4690">
              <w:rPr>
                <w:rStyle w:val="Hyperlink"/>
                <w:b/>
                <w:noProof/>
                <w:sz w:val="24"/>
                <w:szCs w:val="24"/>
                <w:lang w:val="en-US"/>
              </w:rPr>
              <w:t>Economic growth of Developed Countries</w:t>
            </w:r>
            <w:r w:rsidR="004A242B" w:rsidRPr="005E4690">
              <w:rPr>
                <w:noProof/>
                <w:webHidden/>
                <w:sz w:val="24"/>
                <w:szCs w:val="24"/>
              </w:rPr>
              <w:tab/>
            </w:r>
            <w:r w:rsidR="004A242B" w:rsidRPr="005E4690">
              <w:rPr>
                <w:noProof/>
                <w:webHidden/>
                <w:sz w:val="24"/>
                <w:szCs w:val="24"/>
              </w:rPr>
              <w:fldChar w:fldCharType="begin"/>
            </w:r>
            <w:r w:rsidR="004A242B" w:rsidRPr="005E4690">
              <w:rPr>
                <w:noProof/>
                <w:webHidden/>
                <w:sz w:val="24"/>
                <w:szCs w:val="24"/>
              </w:rPr>
              <w:instrText xml:space="preserve"> PAGEREF _Toc8434890 \h </w:instrText>
            </w:r>
            <w:r w:rsidR="004A242B" w:rsidRPr="005E4690">
              <w:rPr>
                <w:noProof/>
                <w:webHidden/>
                <w:sz w:val="24"/>
                <w:szCs w:val="24"/>
              </w:rPr>
            </w:r>
            <w:r w:rsidR="004A242B" w:rsidRPr="005E4690">
              <w:rPr>
                <w:noProof/>
                <w:webHidden/>
                <w:sz w:val="24"/>
                <w:szCs w:val="24"/>
              </w:rPr>
              <w:fldChar w:fldCharType="separate"/>
            </w:r>
            <w:r w:rsidR="004A242B" w:rsidRPr="005E4690">
              <w:rPr>
                <w:noProof/>
                <w:webHidden/>
                <w:sz w:val="24"/>
                <w:szCs w:val="24"/>
              </w:rPr>
              <w:t>35</w:t>
            </w:r>
            <w:r w:rsidR="004A242B" w:rsidRPr="005E4690">
              <w:rPr>
                <w:noProof/>
                <w:webHidden/>
                <w:sz w:val="24"/>
                <w:szCs w:val="24"/>
              </w:rPr>
              <w:fldChar w:fldCharType="end"/>
            </w:r>
          </w:hyperlink>
        </w:p>
        <w:p w14:paraId="15B8908B" w14:textId="77777777" w:rsidR="004A242B" w:rsidRPr="005E4690" w:rsidRDefault="00CC3C31">
          <w:pPr>
            <w:pStyle w:val="TOC3"/>
            <w:rPr>
              <w:rFonts w:asciiTheme="minorHAnsi" w:eastAsiaTheme="minorEastAsia" w:hAnsiTheme="minorHAnsi" w:cstheme="minorBidi"/>
              <w:i w:val="0"/>
              <w:iCs w:val="0"/>
              <w:noProof/>
              <w:sz w:val="24"/>
              <w:szCs w:val="24"/>
              <w:lang w:val="ru-RU" w:eastAsia="ru-RU"/>
            </w:rPr>
          </w:pPr>
          <w:hyperlink w:anchor="_Toc8434891" w:history="1">
            <w:r w:rsidR="004A242B" w:rsidRPr="005E4690">
              <w:rPr>
                <w:rStyle w:val="Hyperlink"/>
                <w:b/>
                <w:noProof/>
                <w:sz w:val="24"/>
                <w:szCs w:val="24"/>
                <w:lang w:val="en-US"/>
              </w:rPr>
              <w:t>3.1.2</w:t>
            </w:r>
            <w:r w:rsidR="004A242B" w:rsidRPr="005E4690">
              <w:rPr>
                <w:rFonts w:asciiTheme="minorHAnsi" w:eastAsiaTheme="minorEastAsia" w:hAnsiTheme="minorHAnsi" w:cstheme="minorBidi"/>
                <w:i w:val="0"/>
                <w:iCs w:val="0"/>
                <w:noProof/>
                <w:sz w:val="24"/>
                <w:szCs w:val="24"/>
                <w:lang w:val="ru-RU" w:eastAsia="ru-RU"/>
              </w:rPr>
              <w:tab/>
            </w:r>
            <w:r w:rsidR="004A242B" w:rsidRPr="005E4690">
              <w:rPr>
                <w:rStyle w:val="Hyperlink"/>
                <w:b/>
                <w:noProof/>
                <w:sz w:val="24"/>
                <w:szCs w:val="24"/>
                <w:lang w:val="en-US"/>
              </w:rPr>
              <w:t>Economic growth of Emerging Countries</w:t>
            </w:r>
            <w:r w:rsidR="004A242B" w:rsidRPr="005E4690">
              <w:rPr>
                <w:noProof/>
                <w:webHidden/>
                <w:sz w:val="24"/>
                <w:szCs w:val="24"/>
              </w:rPr>
              <w:tab/>
            </w:r>
            <w:r w:rsidR="004A242B" w:rsidRPr="005E4690">
              <w:rPr>
                <w:noProof/>
                <w:webHidden/>
                <w:sz w:val="24"/>
                <w:szCs w:val="24"/>
              </w:rPr>
              <w:fldChar w:fldCharType="begin"/>
            </w:r>
            <w:r w:rsidR="004A242B" w:rsidRPr="005E4690">
              <w:rPr>
                <w:noProof/>
                <w:webHidden/>
                <w:sz w:val="24"/>
                <w:szCs w:val="24"/>
              </w:rPr>
              <w:instrText xml:space="preserve"> PAGEREF _Toc8434891 \h </w:instrText>
            </w:r>
            <w:r w:rsidR="004A242B" w:rsidRPr="005E4690">
              <w:rPr>
                <w:noProof/>
                <w:webHidden/>
                <w:sz w:val="24"/>
                <w:szCs w:val="24"/>
              </w:rPr>
            </w:r>
            <w:r w:rsidR="004A242B" w:rsidRPr="005E4690">
              <w:rPr>
                <w:noProof/>
                <w:webHidden/>
                <w:sz w:val="24"/>
                <w:szCs w:val="24"/>
              </w:rPr>
              <w:fldChar w:fldCharType="separate"/>
            </w:r>
            <w:r w:rsidR="004A242B" w:rsidRPr="005E4690">
              <w:rPr>
                <w:noProof/>
                <w:webHidden/>
                <w:sz w:val="24"/>
                <w:szCs w:val="24"/>
              </w:rPr>
              <w:t>36</w:t>
            </w:r>
            <w:r w:rsidR="004A242B" w:rsidRPr="005E4690">
              <w:rPr>
                <w:noProof/>
                <w:webHidden/>
                <w:sz w:val="24"/>
                <w:szCs w:val="24"/>
              </w:rPr>
              <w:fldChar w:fldCharType="end"/>
            </w:r>
          </w:hyperlink>
        </w:p>
        <w:p w14:paraId="648DE455" w14:textId="77777777" w:rsidR="004A242B" w:rsidRPr="005E4690" w:rsidRDefault="00CC3C31">
          <w:pPr>
            <w:pStyle w:val="TOC3"/>
            <w:rPr>
              <w:rFonts w:asciiTheme="minorHAnsi" w:eastAsiaTheme="minorEastAsia" w:hAnsiTheme="minorHAnsi" w:cstheme="minorBidi"/>
              <w:i w:val="0"/>
              <w:iCs w:val="0"/>
              <w:noProof/>
              <w:sz w:val="24"/>
              <w:szCs w:val="24"/>
              <w:lang w:val="ru-RU" w:eastAsia="ru-RU"/>
            </w:rPr>
          </w:pPr>
          <w:hyperlink w:anchor="_Toc8434892" w:history="1">
            <w:r w:rsidR="004A242B" w:rsidRPr="005E4690">
              <w:rPr>
                <w:rStyle w:val="Hyperlink"/>
                <w:b/>
                <w:noProof/>
                <w:sz w:val="24"/>
                <w:szCs w:val="24"/>
                <w:lang w:val="en-US"/>
              </w:rPr>
              <w:t>3.1.3</w:t>
            </w:r>
            <w:r w:rsidR="004A242B" w:rsidRPr="005E4690">
              <w:rPr>
                <w:rFonts w:asciiTheme="minorHAnsi" w:eastAsiaTheme="minorEastAsia" w:hAnsiTheme="minorHAnsi" w:cstheme="minorBidi"/>
                <w:i w:val="0"/>
                <w:iCs w:val="0"/>
                <w:noProof/>
                <w:sz w:val="24"/>
                <w:szCs w:val="24"/>
                <w:lang w:val="ru-RU" w:eastAsia="ru-RU"/>
              </w:rPr>
              <w:tab/>
            </w:r>
            <w:r w:rsidR="004A242B" w:rsidRPr="005E4690">
              <w:rPr>
                <w:rStyle w:val="Hyperlink"/>
                <w:b/>
                <w:noProof/>
                <w:sz w:val="24"/>
                <w:szCs w:val="24"/>
                <w:lang w:val="en-US"/>
              </w:rPr>
              <w:t>Economic growth of the Least Countries</w:t>
            </w:r>
            <w:r w:rsidR="004A242B" w:rsidRPr="005E4690">
              <w:rPr>
                <w:noProof/>
                <w:webHidden/>
                <w:sz w:val="24"/>
                <w:szCs w:val="24"/>
              </w:rPr>
              <w:tab/>
            </w:r>
            <w:r w:rsidR="004A242B" w:rsidRPr="005E4690">
              <w:rPr>
                <w:noProof/>
                <w:webHidden/>
                <w:sz w:val="24"/>
                <w:szCs w:val="24"/>
              </w:rPr>
              <w:fldChar w:fldCharType="begin"/>
            </w:r>
            <w:r w:rsidR="004A242B" w:rsidRPr="005E4690">
              <w:rPr>
                <w:noProof/>
                <w:webHidden/>
                <w:sz w:val="24"/>
                <w:szCs w:val="24"/>
              </w:rPr>
              <w:instrText xml:space="preserve"> PAGEREF _Toc8434892 \h </w:instrText>
            </w:r>
            <w:r w:rsidR="004A242B" w:rsidRPr="005E4690">
              <w:rPr>
                <w:noProof/>
                <w:webHidden/>
                <w:sz w:val="24"/>
                <w:szCs w:val="24"/>
              </w:rPr>
            </w:r>
            <w:r w:rsidR="004A242B" w:rsidRPr="005E4690">
              <w:rPr>
                <w:noProof/>
                <w:webHidden/>
                <w:sz w:val="24"/>
                <w:szCs w:val="24"/>
              </w:rPr>
              <w:fldChar w:fldCharType="separate"/>
            </w:r>
            <w:r w:rsidR="004A242B" w:rsidRPr="005E4690">
              <w:rPr>
                <w:noProof/>
                <w:webHidden/>
                <w:sz w:val="24"/>
                <w:szCs w:val="24"/>
              </w:rPr>
              <w:t>38</w:t>
            </w:r>
            <w:r w:rsidR="004A242B" w:rsidRPr="005E4690">
              <w:rPr>
                <w:noProof/>
                <w:webHidden/>
                <w:sz w:val="24"/>
                <w:szCs w:val="24"/>
              </w:rPr>
              <w:fldChar w:fldCharType="end"/>
            </w:r>
          </w:hyperlink>
        </w:p>
        <w:p w14:paraId="327D87CB" w14:textId="77777777" w:rsidR="004A242B" w:rsidRPr="005E4690" w:rsidRDefault="00CC3C31" w:rsidP="005E4690">
          <w:pPr>
            <w:pStyle w:val="TOC2"/>
            <w:rPr>
              <w:rFonts w:asciiTheme="minorHAnsi" w:eastAsiaTheme="minorEastAsia" w:hAnsiTheme="minorHAnsi" w:cstheme="minorBidi"/>
              <w:sz w:val="24"/>
              <w:szCs w:val="22"/>
              <w:lang w:val="ru-RU" w:eastAsia="ru-RU"/>
            </w:rPr>
          </w:pPr>
          <w:hyperlink w:anchor="_Toc8434893" w:history="1">
            <w:r w:rsidR="004A242B" w:rsidRPr="005E4690">
              <w:rPr>
                <w:rStyle w:val="Hyperlink"/>
              </w:rPr>
              <w:t>3.2</w:t>
            </w:r>
            <w:r w:rsidR="004A242B" w:rsidRPr="005E4690">
              <w:rPr>
                <w:rFonts w:asciiTheme="minorHAnsi" w:eastAsiaTheme="minorEastAsia" w:hAnsiTheme="minorHAnsi" w:cstheme="minorBidi"/>
                <w:sz w:val="24"/>
                <w:szCs w:val="22"/>
                <w:lang w:val="ru-RU" w:eastAsia="ru-RU"/>
              </w:rPr>
              <w:tab/>
            </w:r>
            <w:r w:rsidR="004A242B" w:rsidRPr="005E4690">
              <w:rPr>
                <w:rStyle w:val="Hyperlink"/>
              </w:rPr>
              <w:t>Analysis of the impact of Inequality of countries by Gini coefficient</w:t>
            </w:r>
            <w:r w:rsidR="004A242B" w:rsidRPr="005E4690">
              <w:rPr>
                <w:webHidden/>
              </w:rPr>
              <w:tab/>
            </w:r>
            <w:r w:rsidR="004A242B" w:rsidRPr="005E4690">
              <w:rPr>
                <w:webHidden/>
              </w:rPr>
              <w:fldChar w:fldCharType="begin"/>
            </w:r>
            <w:r w:rsidR="004A242B" w:rsidRPr="005E4690">
              <w:rPr>
                <w:webHidden/>
              </w:rPr>
              <w:instrText xml:space="preserve"> PAGEREF _Toc8434893 \h </w:instrText>
            </w:r>
            <w:r w:rsidR="004A242B" w:rsidRPr="005E4690">
              <w:rPr>
                <w:webHidden/>
              </w:rPr>
            </w:r>
            <w:r w:rsidR="004A242B" w:rsidRPr="005E4690">
              <w:rPr>
                <w:webHidden/>
              </w:rPr>
              <w:fldChar w:fldCharType="separate"/>
            </w:r>
            <w:r w:rsidR="004A242B" w:rsidRPr="005E4690">
              <w:rPr>
                <w:webHidden/>
              </w:rPr>
              <w:t>40</w:t>
            </w:r>
            <w:r w:rsidR="004A242B" w:rsidRPr="005E4690">
              <w:rPr>
                <w:webHidden/>
              </w:rPr>
              <w:fldChar w:fldCharType="end"/>
            </w:r>
          </w:hyperlink>
        </w:p>
        <w:p w14:paraId="14CF3457" w14:textId="77777777" w:rsidR="004A242B" w:rsidRPr="005E4690" w:rsidRDefault="00CC3C31">
          <w:pPr>
            <w:pStyle w:val="TOC3"/>
            <w:rPr>
              <w:rFonts w:asciiTheme="minorHAnsi" w:eastAsiaTheme="minorEastAsia" w:hAnsiTheme="minorHAnsi" w:cstheme="minorBidi"/>
              <w:i w:val="0"/>
              <w:iCs w:val="0"/>
              <w:noProof/>
              <w:sz w:val="28"/>
              <w:szCs w:val="22"/>
              <w:lang w:val="ru-RU" w:eastAsia="ru-RU"/>
            </w:rPr>
          </w:pPr>
          <w:hyperlink w:anchor="_Toc8434894" w:history="1">
            <w:r w:rsidR="004A242B" w:rsidRPr="005E4690">
              <w:rPr>
                <w:rStyle w:val="Hyperlink"/>
                <w:b/>
                <w:noProof/>
                <w:sz w:val="24"/>
                <w:lang w:val="en-US"/>
              </w:rPr>
              <w:t>3.2.1</w:t>
            </w:r>
            <w:r w:rsidR="004A242B" w:rsidRPr="005E4690">
              <w:rPr>
                <w:rFonts w:asciiTheme="minorHAnsi" w:eastAsiaTheme="minorEastAsia" w:hAnsiTheme="minorHAnsi" w:cstheme="minorBidi"/>
                <w:i w:val="0"/>
                <w:iCs w:val="0"/>
                <w:noProof/>
                <w:sz w:val="28"/>
                <w:szCs w:val="22"/>
                <w:lang w:val="ru-RU" w:eastAsia="ru-RU"/>
              </w:rPr>
              <w:tab/>
            </w:r>
            <w:r w:rsidR="004A242B" w:rsidRPr="005E4690">
              <w:rPr>
                <w:rStyle w:val="Hyperlink"/>
                <w:b/>
                <w:noProof/>
                <w:sz w:val="24"/>
                <w:lang w:val="en-US"/>
              </w:rPr>
              <w:t>Developed countries</w:t>
            </w:r>
            <w:r w:rsidR="004A242B" w:rsidRPr="005E4690">
              <w:rPr>
                <w:noProof/>
                <w:webHidden/>
                <w:sz w:val="24"/>
              </w:rPr>
              <w:tab/>
            </w:r>
            <w:r w:rsidR="004A242B" w:rsidRPr="005E4690">
              <w:rPr>
                <w:noProof/>
                <w:webHidden/>
                <w:sz w:val="24"/>
              </w:rPr>
              <w:fldChar w:fldCharType="begin"/>
            </w:r>
            <w:r w:rsidR="004A242B" w:rsidRPr="005E4690">
              <w:rPr>
                <w:noProof/>
                <w:webHidden/>
                <w:sz w:val="24"/>
              </w:rPr>
              <w:instrText xml:space="preserve"> PAGEREF _Toc8434894 \h </w:instrText>
            </w:r>
            <w:r w:rsidR="004A242B" w:rsidRPr="005E4690">
              <w:rPr>
                <w:noProof/>
                <w:webHidden/>
                <w:sz w:val="24"/>
              </w:rPr>
            </w:r>
            <w:r w:rsidR="004A242B" w:rsidRPr="005E4690">
              <w:rPr>
                <w:noProof/>
                <w:webHidden/>
                <w:sz w:val="24"/>
              </w:rPr>
              <w:fldChar w:fldCharType="separate"/>
            </w:r>
            <w:r w:rsidR="004A242B" w:rsidRPr="005E4690">
              <w:rPr>
                <w:noProof/>
                <w:webHidden/>
                <w:sz w:val="24"/>
              </w:rPr>
              <w:t>41</w:t>
            </w:r>
            <w:r w:rsidR="004A242B" w:rsidRPr="005E4690">
              <w:rPr>
                <w:noProof/>
                <w:webHidden/>
                <w:sz w:val="24"/>
              </w:rPr>
              <w:fldChar w:fldCharType="end"/>
            </w:r>
          </w:hyperlink>
        </w:p>
        <w:p w14:paraId="6C17ACEB" w14:textId="77777777" w:rsidR="004A242B" w:rsidRPr="005E4690" w:rsidRDefault="00CC3C31">
          <w:pPr>
            <w:pStyle w:val="TOC3"/>
            <w:rPr>
              <w:rFonts w:asciiTheme="minorHAnsi" w:eastAsiaTheme="minorEastAsia" w:hAnsiTheme="minorHAnsi" w:cstheme="minorBidi"/>
              <w:i w:val="0"/>
              <w:iCs w:val="0"/>
              <w:noProof/>
              <w:sz w:val="28"/>
              <w:szCs w:val="22"/>
              <w:lang w:val="ru-RU" w:eastAsia="ru-RU"/>
            </w:rPr>
          </w:pPr>
          <w:hyperlink w:anchor="_Toc8434895" w:history="1">
            <w:r w:rsidR="004A242B" w:rsidRPr="005E4690">
              <w:rPr>
                <w:rStyle w:val="Hyperlink"/>
                <w:b/>
                <w:noProof/>
                <w:sz w:val="24"/>
                <w:lang w:val="en-US"/>
              </w:rPr>
              <w:t>3.2.2</w:t>
            </w:r>
            <w:r w:rsidR="004A242B" w:rsidRPr="005E4690">
              <w:rPr>
                <w:rFonts w:asciiTheme="minorHAnsi" w:eastAsiaTheme="minorEastAsia" w:hAnsiTheme="minorHAnsi" w:cstheme="minorBidi"/>
                <w:i w:val="0"/>
                <w:iCs w:val="0"/>
                <w:noProof/>
                <w:sz w:val="28"/>
                <w:szCs w:val="22"/>
                <w:lang w:val="ru-RU" w:eastAsia="ru-RU"/>
              </w:rPr>
              <w:tab/>
            </w:r>
            <w:r w:rsidR="004A242B" w:rsidRPr="005E4690">
              <w:rPr>
                <w:rStyle w:val="Hyperlink"/>
                <w:b/>
                <w:noProof/>
                <w:sz w:val="24"/>
                <w:lang w:val="en-US"/>
              </w:rPr>
              <w:t>Emerging countries</w:t>
            </w:r>
            <w:r w:rsidR="004A242B" w:rsidRPr="005E4690">
              <w:rPr>
                <w:noProof/>
                <w:webHidden/>
                <w:sz w:val="24"/>
              </w:rPr>
              <w:tab/>
            </w:r>
            <w:r w:rsidR="004A242B" w:rsidRPr="005E4690">
              <w:rPr>
                <w:noProof/>
                <w:webHidden/>
                <w:sz w:val="24"/>
              </w:rPr>
              <w:fldChar w:fldCharType="begin"/>
            </w:r>
            <w:r w:rsidR="004A242B" w:rsidRPr="005E4690">
              <w:rPr>
                <w:noProof/>
                <w:webHidden/>
                <w:sz w:val="24"/>
              </w:rPr>
              <w:instrText xml:space="preserve"> PAGEREF _Toc8434895 \h </w:instrText>
            </w:r>
            <w:r w:rsidR="004A242B" w:rsidRPr="005E4690">
              <w:rPr>
                <w:noProof/>
                <w:webHidden/>
                <w:sz w:val="24"/>
              </w:rPr>
            </w:r>
            <w:r w:rsidR="004A242B" w:rsidRPr="005E4690">
              <w:rPr>
                <w:noProof/>
                <w:webHidden/>
                <w:sz w:val="24"/>
              </w:rPr>
              <w:fldChar w:fldCharType="separate"/>
            </w:r>
            <w:r w:rsidR="004A242B" w:rsidRPr="005E4690">
              <w:rPr>
                <w:noProof/>
                <w:webHidden/>
                <w:sz w:val="24"/>
              </w:rPr>
              <w:t>42</w:t>
            </w:r>
            <w:r w:rsidR="004A242B" w:rsidRPr="005E4690">
              <w:rPr>
                <w:noProof/>
                <w:webHidden/>
                <w:sz w:val="24"/>
              </w:rPr>
              <w:fldChar w:fldCharType="end"/>
            </w:r>
          </w:hyperlink>
        </w:p>
        <w:p w14:paraId="63519FDE" w14:textId="77777777" w:rsidR="004A242B" w:rsidRPr="005E4690" w:rsidRDefault="00CC3C31">
          <w:pPr>
            <w:pStyle w:val="TOC3"/>
            <w:rPr>
              <w:rFonts w:asciiTheme="minorHAnsi" w:eastAsiaTheme="minorEastAsia" w:hAnsiTheme="minorHAnsi" w:cstheme="minorBidi"/>
              <w:i w:val="0"/>
              <w:iCs w:val="0"/>
              <w:noProof/>
              <w:sz w:val="28"/>
              <w:szCs w:val="22"/>
              <w:lang w:val="ru-RU" w:eastAsia="ru-RU"/>
            </w:rPr>
          </w:pPr>
          <w:hyperlink w:anchor="_Toc8434896" w:history="1">
            <w:r w:rsidR="004A242B" w:rsidRPr="005E4690">
              <w:rPr>
                <w:rStyle w:val="Hyperlink"/>
                <w:b/>
                <w:noProof/>
                <w:sz w:val="24"/>
                <w:lang w:val="en-US"/>
              </w:rPr>
              <w:t>3.2.3</w:t>
            </w:r>
            <w:r w:rsidR="004A242B" w:rsidRPr="005E4690">
              <w:rPr>
                <w:rFonts w:asciiTheme="minorHAnsi" w:eastAsiaTheme="minorEastAsia" w:hAnsiTheme="minorHAnsi" w:cstheme="minorBidi"/>
                <w:i w:val="0"/>
                <w:iCs w:val="0"/>
                <w:noProof/>
                <w:sz w:val="28"/>
                <w:szCs w:val="22"/>
                <w:lang w:val="ru-RU" w:eastAsia="ru-RU"/>
              </w:rPr>
              <w:tab/>
            </w:r>
            <w:r w:rsidR="004A242B" w:rsidRPr="005E4690">
              <w:rPr>
                <w:rStyle w:val="Hyperlink"/>
                <w:b/>
                <w:noProof/>
                <w:sz w:val="24"/>
                <w:lang w:val="en-US"/>
              </w:rPr>
              <w:t>Least countries</w:t>
            </w:r>
            <w:r w:rsidR="004A242B" w:rsidRPr="005E4690">
              <w:rPr>
                <w:noProof/>
                <w:webHidden/>
                <w:sz w:val="24"/>
              </w:rPr>
              <w:tab/>
            </w:r>
            <w:r w:rsidR="004A242B" w:rsidRPr="005E4690">
              <w:rPr>
                <w:noProof/>
                <w:webHidden/>
                <w:sz w:val="24"/>
              </w:rPr>
              <w:fldChar w:fldCharType="begin"/>
            </w:r>
            <w:r w:rsidR="004A242B" w:rsidRPr="005E4690">
              <w:rPr>
                <w:noProof/>
                <w:webHidden/>
                <w:sz w:val="24"/>
              </w:rPr>
              <w:instrText xml:space="preserve"> PAGEREF _Toc8434896 \h </w:instrText>
            </w:r>
            <w:r w:rsidR="004A242B" w:rsidRPr="005E4690">
              <w:rPr>
                <w:noProof/>
                <w:webHidden/>
                <w:sz w:val="24"/>
              </w:rPr>
            </w:r>
            <w:r w:rsidR="004A242B" w:rsidRPr="005E4690">
              <w:rPr>
                <w:noProof/>
                <w:webHidden/>
                <w:sz w:val="24"/>
              </w:rPr>
              <w:fldChar w:fldCharType="separate"/>
            </w:r>
            <w:r w:rsidR="004A242B" w:rsidRPr="005E4690">
              <w:rPr>
                <w:noProof/>
                <w:webHidden/>
                <w:sz w:val="24"/>
              </w:rPr>
              <w:t>43</w:t>
            </w:r>
            <w:r w:rsidR="004A242B" w:rsidRPr="005E4690">
              <w:rPr>
                <w:noProof/>
                <w:webHidden/>
                <w:sz w:val="24"/>
              </w:rPr>
              <w:fldChar w:fldCharType="end"/>
            </w:r>
          </w:hyperlink>
        </w:p>
        <w:p w14:paraId="4D6EE216" w14:textId="2B8E6E76" w:rsidR="004A242B" w:rsidRPr="005E4690" w:rsidRDefault="00CC3C31" w:rsidP="005E4690">
          <w:pPr>
            <w:pStyle w:val="TOC2"/>
            <w:rPr>
              <w:rFonts w:asciiTheme="minorHAnsi" w:eastAsiaTheme="minorEastAsia" w:hAnsiTheme="minorHAnsi" w:cstheme="minorBidi"/>
              <w:sz w:val="22"/>
              <w:szCs w:val="22"/>
              <w:lang w:val="ru-RU" w:eastAsia="ru-RU"/>
            </w:rPr>
          </w:pPr>
          <w:hyperlink w:anchor="_Toc8434897" w:history="1">
            <w:r w:rsidR="004A242B" w:rsidRPr="005E4690">
              <w:rPr>
                <w:rStyle w:val="Hyperlink"/>
                <w:b/>
              </w:rPr>
              <w:t>3.3</w:t>
            </w:r>
            <w:r w:rsidR="004A242B" w:rsidRPr="005E4690">
              <w:rPr>
                <w:rFonts w:asciiTheme="minorHAnsi" w:eastAsiaTheme="minorEastAsia" w:hAnsiTheme="minorHAnsi" w:cstheme="minorBidi"/>
                <w:sz w:val="22"/>
                <w:szCs w:val="22"/>
                <w:lang w:val="ru-RU" w:eastAsia="ru-RU"/>
              </w:rPr>
              <w:tab/>
            </w:r>
            <w:r w:rsidR="004A242B" w:rsidRPr="005E4690">
              <w:rPr>
                <w:rStyle w:val="Hyperlink"/>
              </w:rPr>
              <w:t>Estimation of impact of the Inequality on Economic growth</w:t>
            </w:r>
            <w:r w:rsidR="004A242B" w:rsidRPr="005E4690">
              <w:rPr>
                <w:webHidden/>
              </w:rPr>
              <w:tab/>
            </w:r>
            <w:r w:rsidR="005E4690" w:rsidRPr="005E4690">
              <w:rPr>
                <w:webHidden/>
              </w:rPr>
              <w:t xml:space="preserve">  </w:t>
            </w:r>
            <w:r w:rsidR="004A242B" w:rsidRPr="005E4690">
              <w:rPr>
                <w:webHidden/>
              </w:rPr>
              <w:fldChar w:fldCharType="begin"/>
            </w:r>
            <w:r w:rsidR="004A242B" w:rsidRPr="005E4690">
              <w:rPr>
                <w:webHidden/>
              </w:rPr>
              <w:instrText xml:space="preserve"> PAGEREF _Toc8434897 \h </w:instrText>
            </w:r>
            <w:r w:rsidR="004A242B" w:rsidRPr="005E4690">
              <w:rPr>
                <w:webHidden/>
              </w:rPr>
            </w:r>
            <w:r w:rsidR="004A242B" w:rsidRPr="005E4690">
              <w:rPr>
                <w:webHidden/>
              </w:rPr>
              <w:fldChar w:fldCharType="separate"/>
            </w:r>
            <w:r w:rsidR="004A242B" w:rsidRPr="005E4690">
              <w:rPr>
                <w:webHidden/>
              </w:rPr>
              <w:t>45</w:t>
            </w:r>
            <w:r w:rsidR="004A242B" w:rsidRPr="005E4690">
              <w:rPr>
                <w:webHidden/>
              </w:rPr>
              <w:fldChar w:fldCharType="end"/>
            </w:r>
          </w:hyperlink>
        </w:p>
        <w:p w14:paraId="31E4490C" w14:textId="77777777" w:rsidR="004A242B" w:rsidRDefault="00CC3C31" w:rsidP="005E4690">
          <w:pPr>
            <w:pStyle w:val="TOC1"/>
            <w:rPr>
              <w:rFonts w:asciiTheme="minorHAnsi" w:eastAsiaTheme="minorEastAsia" w:hAnsiTheme="minorHAnsi" w:cstheme="minorBidi"/>
              <w:szCs w:val="22"/>
              <w:lang w:val="ru-RU" w:eastAsia="ru-RU"/>
            </w:rPr>
          </w:pPr>
          <w:hyperlink w:anchor="_Toc8434898" w:history="1">
            <w:r w:rsidR="004A242B" w:rsidRPr="007B1A9F">
              <w:rPr>
                <w:rStyle w:val="Hyperlink"/>
              </w:rPr>
              <w:t>4</w:t>
            </w:r>
            <w:r w:rsidR="004A242B">
              <w:rPr>
                <w:rFonts w:asciiTheme="minorHAnsi" w:eastAsiaTheme="minorEastAsia" w:hAnsiTheme="minorHAnsi" w:cstheme="minorBidi"/>
                <w:szCs w:val="22"/>
                <w:lang w:val="ru-RU" w:eastAsia="ru-RU"/>
              </w:rPr>
              <w:tab/>
            </w:r>
            <w:r w:rsidR="004A242B" w:rsidRPr="007B1A9F">
              <w:rPr>
                <w:rStyle w:val="Hyperlink"/>
              </w:rPr>
              <w:t>Conclusion</w:t>
            </w:r>
            <w:r w:rsidR="004A242B">
              <w:rPr>
                <w:webHidden/>
              </w:rPr>
              <w:tab/>
            </w:r>
            <w:r w:rsidR="004A242B">
              <w:rPr>
                <w:webHidden/>
              </w:rPr>
              <w:fldChar w:fldCharType="begin"/>
            </w:r>
            <w:r w:rsidR="004A242B">
              <w:rPr>
                <w:webHidden/>
              </w:rPr>
              <w:instrText xml:space="preserve"> PAGEREF _Toc8434898 \h </w:instrText>
            </w:r>
            <w:r w:rsidR="004A242B">
              <w:rPr>
                <w:webHidden/>
              </w:rPr>
            </w:r>
            <w:r w:rsidR="004A242B">
              <w:rPr>
                <w:webHidden/>
              </w:rPr>
              <w:fldChar w:fldCharType="separate"/>
            </w:r>
            <w:r w:rsidR="004A242B">
              <w:rPr>
                <w:webHidden/>
              </w:rPr>
              <w:t>51</w:t>
            </w:r>
            <w:r w:rsidR="004A242B">
              <w:rPr>
                <w:webHidden/>
              </w:rPr>
              <w:fldChar w:fldCharType="end"/>
            </w:r>
          </w:hyperlink>
        </w:p>
        <w:p w14:paraId="1DD33025" w14:textId="77777777" w:rsidR="004A242B" w:rsidRDefault="00CC3C31" w:rsidP="005E4690">
          <w:pPr>
            <w:pStyle w:val="TOC1"/>
            <w:rPr>
              <w:rFonts w:asciiTheme="minorHAnsi" w:eastAsiaTheme="minorEastAsia" w:hAnsiTheme="minorHAnsi" w:cstheme="minorBidi"/>
              <w:szCs w:val="22"/>
              <w:lang w:val="ru-RU" w:eastAsia="ru-RU"/>
            </w:rPr>
          </w:pPr>
          <w:hyperlink w:anchor="_Toc8434899" w:history="1">
            <w:r w:rsidR="004A242B" w:rsidRPr="007B1A9F">
              <w:rPr>
                <w:rStyle w:val="Hyperlink"/>
              </w:rPr>
              <w:t>5</w:t>
            </w:r>
            <w:r w:rsidR="004A242B">
              <w:rPr>
                <w:rFonts w:asciiTheme="minorHAnsi" w:eastAsiaTheme="minorEastAsia" w:hAnsiTheme="minorHAnsi" w:cstheme="minorBidi"/>
                <w:szCs w:val="22"/>
                <w:lang w:val="ru-RU" w:eastAsia="ru-RU"/>
              </w:rPr>
              <w:tab/>
            </w:r>
            <w:r w:rsidR="004A242B" w:rsidRPr="007B1A9F">
              <w:rPr>
                <w:rStyle w:val="Hyperlink"/>
              </w:rPr>
              <w:t>Bibliography</w:t>
            </w:r>
            <w:r w:rsidR="004A242B">
              <w:rPr>
                <w:webHidden/>
              </w:rPr>
              <w:tab/>
            </w:r>
            <w:r w:rsidR="004A242B">
              <w:rPr>
                <w:webHidden/>
              </w:rPr>
              <w:fldChar w:fldCharType="begin"/>
            </w:r>
            <w:r w:rsidR="004A242B">
              <w:rPr>
                <w:webHidden/>
              </w:rPr>
              <w:instrText xml:space="preserve"> PAGEREF _Toc8434899 \h </w:instrText>
            </w:r>
            <w:r w:rsidR="004A242B">
              <w:rPr>
                <w:webHidden/>
              </w:rPr>
            </w:r>
            <w:r w:rsidR="004A242B">
              <w:rPr>
                <w:webHidden/>
              </w:rPr>
              <w:fldChar w:fldCharType="separate"/>
            </w:r>
            <w:r w:rsidR="004A242B">
              <w:rPr>
                <w:webHidden/>
              </w:rPr>
              <w:t>55</w:t>
            </w:r>
            <w:r w:rsidR="004A242B">
              <w:rPr>
                <w:webHidden/>
              </w:rPr>
              <w:fldChar w:fldCharType="end"/>
            </w:r>
          </w:hyperlink>
        </w:p>
        <w:p w14:paraId="7B5C10B1" w14:textId="77777777" w:rsidR="00931B26" w:rsidRPr="003D4CD1" w:rsidRDefault="00931B26">
          <w:r w:rsidRPr="004820A2">
            <w:rPr>
              <w:b/>
              <w:bCs/>
              <w:noProof/>
              <w:sz w:val="52"/>
            </w:rPr>
            <w:fldChar w:fldCharType="end"/>
          </w:r>
        </w:p>
      </w:sdtContent>
    </w:sdt>
    <w:p w14:paraId="15F94E57" w14:textId="77777777" w:rsidR="00281BDF" w:rsidRPr="003D4CD1" w:rsidRDefault="00281BDF" w:rsidP="00C135F2"/>
    <w:p w14:paraId="183F12C9" w14:textId="77777777" w:rsidR="00C135F2" w:rsidRPr="003D4CD1" w:rsidRDefault="00C135F2" w:rsidP="002312ED"/>
    <w:p w14:paraId="46C05ED1" w14:textId="77777777" w:rsidR="00C135F2" w:rsidRPr="003D4CD1" w:rsidRDefault="00C135F2" w:rsidP="00C135F2">
      <w:pPr>
        <w:jc w:val="both"/>
      </w:pPr>
    </w:p>
    <w:p w14:paraId="5D0261CC" w14:textId="77777777" w:rsidR="00C135F2" w:rsidRPr="003D4CD1" w:rsidRDefault="00C135F2" w:rsidP="00C135F2"/>
    <w:p w14:paraId="3F6EC233" w14:textId="77777777" w:rsidR="003F5FF5" w:rsidRPr="003D4CD1" w:rsidRDefault="003F5FF5" w:rsidP="008C008A">
      <w:pPr>
        <w:pStyle w:val="Heading1"/>
        <w:numPr>
          <w:ilvl w:val="0"/>
          <w:numId w:val="0"/>
        </w:numPr>
        <w:spacing w:before="0" w:after="0"/>
        <w:ind w:left="947" w:rightChars="680" w:right="1632" w:hanging="720"/>
        <w:jc w:val="left"/>
        <w:rPr>
          <w:rFonts w:ascii="Times New Roman" w:hAnsi="Times New Roman" w:cs="Times New Roman"/>
        </w:rPr>
        <w:sectPr w:rsidR="003F5FF5" w:rsidRPr="003D4CD1" w:rsidSect="00A1174C">
          <w:pgSz w:w="11906" w:h="16838"/>
          <w:pgMar w:top="1440" w:right="1416" w:bottom="1440" w:left="2268" w:header="708" w:footer="708" w:gutter="0"/>
          <w:cols w:space="708"/>
          <w:docGrid w:linePitch="360"/>
        </w:sectPr>
      </w:pPr>
    </w:p>
    <w:p w14:paraId="171CF85F" w14:textId="77777777" w:rsidR="00243CDC" w:rsidRPr="00E73BEA" w:rsidRDefault="00657E94" w:rsidP="00243CDC">
      <w:pPr>
        <w:pStyle w:val="Heading1"/>
        <w:jc w:val="center"/>
        <w:rPr>
          <w:rFonts w:ascii="Times New Roman" w:hAnsi="Times New Roman" w:cs="Times New Roman"/>
          <w:sz w:val="36"/>
        </w:rPr>
      </w:pPr>
      <w:bookmarkStart w:id="2" w:name="_Toc233776861"/>
      <w:bookmarkStart w:id="3" w:name="_Toc235604304"/>
      <w:bookmarkStart w:id="4" w:name="_Toc235618162"/>
      <w:bookmarkStart w:id="5" w:name="_Toc235618280"/>
      <w:bookmarkStart w:id="6" w:name="_Toc235619162"/>
      <w:bookmarkStart w:id="7" w:name="_Toc235619703"/>
      <w:bookmarkStart w:id="8" w:name="_Toc303675967"/>
      <w:bookmarkStart w:id="9" w:name="_Toc8434882"/>
      <w:r w:rsidRPr="00E73BEA">
        <w:rPr>
          <w:rFonts w:ascii="Times New Roman" w:hAnsi="Times New Roman" w:cs="Times New Roman"/>
          <w:sz w:val="36"/>
        </w:rPr>
        <w:t>Introduction</w:t>
      </w:r>
      <w:bookmarkEnd w:id="2"/>
      <w:bookmarkEnd w:id="3"/>
      <w:bookmarkEnd w:id="4"/>
      <w:bookmarkEnd w:id="5"/>
      <w:bookmarkEnd w:id="6"/>
      <w:bookmarkEnd w:id="7"/>
      <w:bookmarkEnd w:id="8"/>
      <w:bookmarkEnd w:id="9"/>
    </w:p>
    <w:p w14:paraId="4D70FFD2" w14:textId="77777777" w:rsidR="00931B26" w:rsidRPr="003D4CD1" w:rsidRDefault="00931B26" w:rsidP="00931B26"/>
    <w:p w14:paraId="0312F4AF" w14:textId="77777777" w:rsidR="00931B26" w:rsidRPr="003D4CD1" w:rsidRDefault="00931B26" w:rsidP="00931B26"/>
    <w:p w14:paraId="09418571" w14:textId="77777777" w:rsidR="00DD22F4" w:rsidRPr="00DD22F4" w:rsidRDefault="00243CDC" w:rsidP="00DD22F4">
      <w:pPr>
        <w:pStyle w:val="Heading2"/>
        <w:spacing w:after="360" w:line="480" w:lineRule="auto"/>
        <w:rPr>
          <w:rFonts w:ascii="Times New Roman" w:hAnsi="Times New Roman" w:cs="Times New Roman"/>
        </w:rPr>
      </w:pPr>
      <w:bookmarkStart w:id="10" w:name="_Toc8434883"/>
      <w:r w:rsidRPr="00E73BEA">
        <w:rPr>
          <w:rFonts w:ascii="Times New Roman" w:hAnsi="Times New Roman" w:cs="Times New Roman"/>
        </w:rPr>
        <w:t>Introduction</w:t>
      </w:r>
      <w:bookmarkStart w:id="11" w:name="_Toc170117013"/>
      <w:bookmarkEnd w:id="0"/>
      <w:bookmarkEnd w:id="10"/>
    </w:p>
    <w:p w14:paraId="31A8E572" w14:textId="77777777" w:rsidR="002A19E7" w:rsidRDefault="00DD22F4" w:rsidP="006230F9">
      <w:pPr>
        <w:spacing w:after="360" w:line="360" w:lineRule="auto"/>
        <w:ind w:firstLine="576"/>
        <w:jc w:val="both"/>
        <w:rPr>
          <w:sz w:val="28"/>
          <w:szCs w:val="28"/>
        </w:rPr>
      </w:pPr>
      <w:r w:rsidRPr="00DD22F4">
        <w:rPr>
          <w:sz w:val="28"/>
          <w:szCs w:val="28"/>
        </w:rPr>
        <w:t>The relationship between income inequality and economic growth has been the subject of many theoretical and empirical studies in the last sixty years, especially</w:t>
      </w:r>
      <w:r>
        <w:rPr>
          <w:sz w:val="28"/>
          <w:szCs w:val="28"/>
        </w:rPr>
        <w:t xml:space="preserve"> after Kuznets's work in 1955. </w:t>
      </w:r>
      <w:r w:rsidRPr="00DD22F4">
        <w:rPr>
          <w:sz w:val="28"/>
          <w:szCs w:val="28"/>
        </w:rPr>
        <w:t>As Kuznets claims that the impact of economic development on income inequality is in the form of a reverse-U, the validity of this non-linear relationship has begun to be questioned by many economists. In studies conducted, the relationship between the short and long-term or devel</w:t>
      </w:r>
      <w:r>
        <w:rPr>
          <w:sz w:val="28"/>
          <w:szCs w:val="28"/>
        </w:rPr>
        <w:t>oped and developing countries are</w:t>
      </w:r>
      <w:r w:rsidRPr="00DD22F4">
        <w:rPr>
          <w:sz w:val="28"/>
          <w:szCs w:val="28"/>
        </w:rPr>
        <w:t xml:space="preserve"> examined under different distinctions shows that there is still no consensus on this issue.</w:t>
      </w:r>
    </w:p>
    <w:p w14:paraId="37770306" w14:textId="57D075A9" w:rsidR="004300F8" w:rsidRDefault="00DD22F4" w:rsidP="006230F9">
      <w:pPr>
        <w:spacing w:after="360" w:line="360" w:lineRule="auto"/>
        <w:ind w:firstLine="576"/>
        <w:jc w:val="both"/>
        <w:rPr>
          <w:sz w:val="28"/>
          <w:szCs w:val="28"/>
        </w:rPr>
      </w:pPr>
      <w:r w:rsidRPr="00DD22F4">
        <w:rPr>
          <w:sz w:val="28"/>
          <w:szCs w:val="28"/>
        </w:rPr>
        <w:t>In examining the effect of economic growth on inequality, the other aspect of the relationship has also been the subject of concern because both variables are important for society. The combination of both economic growth and income equality seems to be intuitively desirable for economies; however, it is necessary to determine the direction of this relationship for the applicable economic policies</w:t>
      </w:r>
      <w:r w:rsidR="007C3FE7">
        <w:rPr>
          <w:sz w:val="28"/>
          <w:szCs w:val="28"/>
        </w:rPr>
        <w:t xml:space="preserve">. In theoretical studies, it </w:t>
      </w:r>
      <w:r w:rsidRPr="00DD22F4">
        <w:rPr>
          <w:sz w:val="28"/>
          <w:szCs w:val="28"/>
        </w:rPr>
        <w:t xml:space="preserve">suggested that there may be a negative or positive relationship between income inequality and economic growth or there is no significant relationship. The basis of the positive relationship is the oldest theories </w:t>
      </w:r>
      <w:r w:rsidR="007C3FE7">
        <w:rPr>
          <w:sz w:val="28"/>
          <w:szCs w:val="28"/>
        </w:rPr>
        <w:t>based on Smith</w:t>
      </w:r>
      <w:r w:rsidR="00A779B8">
        <w:rPr>
          <w:rStyle w:val="FootnoteReference"/>
          <w:sz w:val="28"/>
          <w:szCs w:val="28"/>
        </w:rPr>
        <w:footnoteReference w:id="1"/>
      </w:r>
      <w:r w:rsidR="007C3FE7">
        <w:rPr>
          <w:sz w:val="28"/>
          <w:szCs w:val="28"/>
        </w:rPr>
        <w:t xml:space="preserve">, which </w:t>
      </w:r>
      <w:r w:rsidRPr="00DD22F4">
        <w:rPr>
          <w:sz w:val="28"/>
          <w:szCs w:val="28"/>
        </w:rPr>
        <w:t>referred to as the classical approa</w:t>
      </w:r>
      <w:r w:rsidR="007C3FE7">
        <w:rPr>
          <w:sz w:val="28"/>
          <w:szCs w:val="28"/>
        </w:rPr>
        <w:t>ch in the literature: It</w:t>
      </w:r>
      <w:r w:rsidR="006230F9">
        <w:rPr>
          <w:sz w:val="28"/>
          <w:szCs w:val="28"/>
        </w:rPr>
        <w:t xml:space="preserve"> claimed that</w:t>
      </w:r>
      <w:r w:rsidRPr="00DD22F4">
        <w:rPr>
          <w:sz w:val="28"/>
          <w:szCs w:val="28"/>
        </w:rPr>
        <w:t xml:space="preserve"> inequality affects economic growth positively through the marginal saving trend. On the other hand, in the theory of </w:t>
      </w:r>
      <w:r w:rsidR="007C3FE7">
        <w:rPr>
          <w:sz w:val="28"/>
          <w:szCs w:val="28"/>
        </w:rPr>
        <w:t>the neoclassical approach, it</w:t>
      </w:r>
      <w:r w:rsidRPr="00DD22F4">
        <w:rPr>
          <w:sz w:val="28"/>
          <w:szCs w:val="28"/>
        </w:rPr>
        <w:t xml:space="preserve"> claimed that income distribution does not play a significant role in economic growth. In addition to these two approaches, it can be seen that modern ap</w:t>
      </w:r>
      <w:r w:rsidR="006230F9">
        <w:rPr>
          <w:sz w:val="28"/>
          <w:szCs w:val="28"/>
        </w:rPr>
        <w:t xml:space="preserve">proach theories suggesting that </w:t>
      </w:r>
      <w:r w:rsidRPr="00DD22F4">
        <w:rPr>
          <w:sz w:val="28"/>
          <w:szCs w:val="28"/>
        </w:rPr>
        <w:t>inequality, which is supported by recent research, has a negative effect on economic growth.</w:t>
      </w:r>
    </w:p>
    <w:p w14:paraId="6BBBC5BF" w14:textId="029D361D" w:rsidR="004300F8" w:rsidRDefault="004300F8" w:rsidP="00BA5E47">
      <w:pPr>
        <w:tabs>
          <w:tab w:val="left" w:pos="2835"/>
        </w:tabs>
        <w:spacing w:after="360" w:line="360" w:lineRule="auto"/>
        <w:jc w:val="both"/>
        <w:rPr>
          <w:sz w:val="28"/>
          <w:szCs w:val="28"/>
        </w:rPr>
      </w:pPr>
      <w:r w:rsidRPr="004300F8">
        <w:rPr>
          <w:sz w:val="28"/>
          <w:szCs w:val="28"/>
        </w:rPr>
        <w:t>The fact that theoretical studies point to quite different results in</w:t>
      </w:r>
      <w:r w:rsidR="006230F9">
        <w:rPr>
          <w:sz w:val="28"/>
          <w:szCs w:val="28"/>
        </w:rPr>
        <w:t xml:space="preserve"> the relationship between</w:t>
      </w:r>
      <w:r w:rsidRPr="004300F8">
        <w:rPr>
          <w:sz w:val="28"/>
          <w:szCs w:val="28"/>
        </w:rPr>
        <w:t xml:space="preserve"> inequality and economic growth has caused the research subject to be more curious among economists. In particular, it is seen that the theoretical researches on which inequality of income affects</w:t>
      </w:r>
      <w:r w:rsidR="006230F9">
        <w:rPr>
          <w:sz w:val="28"/>
          <w:szCs w:val="28"/>
        </w:rPr>
        <w:t xml:space="preserve"> the growth through the channel </w:t>
      </w:r>
      <w:r w:rsidRPr="004300F8">
        <w:rPr>
          <w:sz w:val="28"/>
          <w:szCs w:val="28"/>
        </w:rPr>
        <w:t>have an important place in the literature.</w:t>
      </w:r>
      <w:r w:rsidR="006230F9">
        <w:rPr>
          <w:sz w:val="28"/>
          <w:szCs w:val="28"/>
        </w:rPr>
        <w:t xml:space="preserve"> These channels show that </w:t>
      </w:r>
      <w:r w:rsidRPr="004300F8">
        <w:rPr>
          <w:sz w:val="28"/>
          <w:szCs w:val="28"/>
        </w:rPr>
        <w:t>inequality affects economic growth negatively.</w:t>
      </w:r>
      <w:r w:rsidR="00A85241">
        <w:rPr>
          <w:sz w:val="28"/>
          <w:szCs w:val="28"/>
        </w:rPr>
        <w:t xml:space="preserve"> </w:t>
      </w:r>
      <w:r w:rsidR="00A85241" w:rsidRPr="00A85241">
        <w:rPr>
          <w:sz w:val="28"/>
          <w:szCs w:val="28"/>
        </w:rPr>
        <w:t xml:space="preserve">Because the inequality of income distribution has negative consequences on many macroeconomic variables; </w:t>
      </w:r>
      <w:r w:rsidR="00B4009D" w:rsidRPr="00A85241">
        <w:rPr>
          <w:sz w:val="28"/>
          <w:szCs w:val="28"/>
        </w:rPr>
        <w:t>these</w:t>
      </w:r>
      <w:r w:rsidR="00A85241" w:rsidRPr="00A85241">
        <w:rPr>
          <w:sz w:val="28"/>
          <w:szCs w:val="28"/>
        </w:rPr>
        <w:t xml:space="preserve"> variables play an important role in determining the channels that affect economic growth. In the case of high-income inequality, political instability, differences in birth rates, redistribution taxation, and credit markets are flawed. When all these studies are evaluated together, there are still some deficiencies in the literature in explaining the relationship between the two variables.</w:t>
      </w:r>
    </w:p>
    <w:p w14:paraId="1D9E1A56" w14:textId="77777777" w:rsidR="00AB5E24" w:rsidRDefault="00AB5E24" w:rsidP="006230F9">
      <w:pPr>
        <w:spacing w:after="360" w:line="360" w:lineRule="auto"/>
        <w:ind w:firstLine="720"/>
        <w:jc w:val="both"/>
        <w:rPr>
          <w:sz w:val="28"/>
          <w:szCs w:val="28"/>
        </w:rPr>
      </w:pPr>
      <w:r w:rsidRPr="00AB5E24">
        <w:rPr>
          <w:sz w:val="28"/>
          <w:szCs w:val="28"/>
        </w:rPr>
        <w:t>The main purpose of this study is to determine whether income inequality has an impact on the countries' economic growth levels and how they are if they are divided into different groups according to their income levels. In this context, it is important to understand the fact that income inequality affects economic growth through which channels, and it is important in explaining the direction of the relationship between the related variables.</w:t>
      </w:r>
    </w:p>
    <w:p w14:paraId="55652916" w14:textId="628FBFE5" w:rsidR="00AB5E24" w:rsidRDefault="006230F9" w:rsidP="006230F9">
      <w:pPr>
        <w:spacing w:after="360" w:line="360" w:lineRule="auto"/>
        <w:ind w:firstLine="720"/>
        <w:jc w:val="both"/>
        <w:rPr>
          <w:sz w:val="28"/>
          <w:szCs w:val="28"/>
        </w:rPr>
      </w:pPr>
      <w:r w:rsidRPr="006230F9">
        <w:rPr>
          <w:sz w:val="28"/>
          <w:szCs w:val="28"/>
        </w:rPr>
        <w:t>For this purpose, the study is divided into four parts. In the first chapter, the theoretical views of inequality and economic growth are discussed. In the second chapter, some points between inequality and economic growth and the advantages, disadvantages, and most importantly, the results are discussed. In the third chapter, we will summarize the calculation methods of how inequality affects economic growth. In the fourth chapter, we selected 3 categories and analyzed the economic growth of some countries and the Gini coefficient. Finally, we will give an overview of the study and the conclusion of the study.</w:t>
      </w:r>
    </w:p>
    <w:p w14:paraId="24E614A6" w14:textId="77777777" w:rsidR="00AB5E24" w:rsidRDefault="00AB5E24" w:rsidP="004300F8">
      <w:pPr>
        <w:spacing w:after="360" w:line="360" w:lineRule="auto"/>
        <w:jc w:val="both"/>
        <w:rPr>
          <w:sz w:val="28"/>
          <w:szCs w:val="28"/>
        </w:rPr>
      </w:pPr>
    </w:p>
    <w:p w14:paraId="0D0A2C16" w14:textId="77777777" w:rsidR="006230F9" w:rsidRDefault="006230F9" w:rsidP="004300F8">
      <w:pPr>
        <w:spacing w:after="360" w:line="360" w:lineRule="auto"/>
        <w:jc w:val="both"/>
        <w:rPr>
          <w:sz w:val="28"/>
          <w:szCs w:val="28"/>
        </w:rPr>
      </w:pPr>
    </w:p>
    <w:p w14:paraId="1A2C0DFB" w14:textId="77777777" w:rsidR="006230F9" w:rsidRPr="004300F8" w:rsidRDefault="006230F9" w:rsidP="004300F8">
      <w:pPr>
        <w:spacing w:after="360" w:line="360" w:lineRule="auto"/>
        <w:jc w:val="both"/>
        <w:rPr>
          <w:sz w:val="28"/>
          <w:szCs w:val="28"/>
        </w:rPr>
        <w:sectPr w:rsidR="006230F9" w:rsidRPr="004300F8" w:rsidSect="001331F7">
          <w:footerReference w:type="default" r:id="rId14"/>
          <w:pgSz w:w="11906" w:h="16838"/>
          <w:pgMar w:top="1440" w:right="1440" w:bottom="1440" w:left="2268" w:header="708" w:footer="708" w:gutter="0"/>
          <w:pgNumType w:start="1"/>
          <w:cols w:space="708"/>
          <w:docGrid w:linePitch="360"/>
        </w:sectPr>
      </w:pPr>
    </w:p>
    <w:p w14:paraId="29B2EE1C" w14:textId="77777777" w:rsidR="00541DB0" w:rsidRPr="00E73BEA" w:rsidRDefault="00D133FB" w:rsidP="00D133FB">
      <w:pPr>
        <w:pStyle w:val="Heading1"/>
        <w:rPr>
          <w:rFonts w:ascii="Times New Roman" w:hAnsi="Times New Roman" w:cs="Times New Roman"/>
          <w:sz w:val="36"/>
        </w:rPr>
      </w:pPr>
      <w:bookmarkStart w:id="12" w:name="_Ref6590293"/>
      <w:bookmarkStart w:id="13" w:name="_Toc8434884"/>
      <w:r w:rsidRPr="00D133FB">
        <w:rPr>
          <w:rFonts w:ascii="Times New Roman" w:hAnsi="Times New Roman" w:cs="Times New Roman"/>
          <w:sz w:val="36"/>
        </w:rPr>
        <w:t>Theoretical bases of Economic inequality</w:t>
      </w:r>
      <w:bookmarkEnd w:id="12"/>
      <w:bookmarkEnd w:id="13"/>
    </w:p>
    <w:p w14:paraId="50657ECA" w14:textId="77777777" w:rsidR="00306FF2" w:rsidRPr="003D4CD1" w:rsidRDefault="00306FF2" w:rsidP="00243CDC">
      <w:pPr>
        <w:spacing w:after="120" w:line="276" w:lineRule="auto"/>
      </w:pPr>
    </w:p>
    <w:p w14:paraId="60BDE452" w14:textId="21BDAF12" w:rsidR="00541DB0" w:rsidRPr="00DF1366" w:rsidRDefault="00D133FB" w:rsidP="00930302">
      <w:pPr>
        <w:pStyle w:val="Heading2"/>
        <w:rPr>
          <w:rFonts w:ascii="Times New Roman" w:hAnsi="Times New Roman" w:cs="Times New Roman"/>
        </w:rPr>
      </w:pPr>
      <w:bookmarkStart w:id="14" w:name="_Ref6590699"/>
      <w:bookmarkStart w:id="15" w:name="_Ref7128015"/>
      <w:bookmarkStart w:id="16" w:name="_Toc8434885"/>
      <w:r w:rsidRPr="00DF1366">
        <w:rPr>
          <w:rFonts w:ascii="Times New Roman" w:hAnsi="Times New Roman" w:cs="Times New Roman"/>
        </w:rPr>
        <w:t xml:space="preserve">Theoretical </w:t>
      </w:r>
      <w:bookmarkEnd w:id="14"/>
      <w:r w:rsidR="00930302" w:rsidRPr="00930302">
        <w:rPr>
          <w:rFonts w:ascii="Times New Roman" w:hAnsi="Times New Roman" w:cs="Times New Roman"/>
        </w:rPr>
        <w:t>Ap</w:t>
      </w:r>
      <w:r w:rsidR="00D00622">
        <w:rPr>
          <w:rFonts w:ascii="Times New Roman" w:hAnsi="Times New Roman" w:cs="Times New Roman"/>
        </w:rPr>
        <w:t>proaches to the Effect of</w:t>
      </w:r>
      <w:r w:rsidR="004D1C5A">
        <w:rPr>
          <w:rFonts w:ascii="Times New Roman" w:hAnsi="Times New Roman" w:cs="Times New Roman"/>
        </w:rPr>
        <w:t xml:space="preserve"> Income</w:t>
      </w:r>
      <w:r w:rsidR="00930302" w:rsidRPr="00930302">
        <w:rPr>
          <w:rFonts w:ascii="Times New Roman" w:hAnsi="Times New Roman" w:cs="Times New Roman"/>
        </w:rPr>
        <w:t xml:space="preserve"> Inequality on Economic Growth</w:t>
      </w:r>
      <w:bookmarkEnd w:id="15"/>
      <w:bookmarkEnd w:id="16"/>
    </w:p>
    <w:p w14:paraId="6FED0EEE" w14:textId="770EE8EC" w:rsidR="000A2A6F" w:rsidRDefault="007823E2" w:rsidP="007823E2">
      <w:pPr>
        <w:pStyle w:val="NormalWeb"/>
        <w:shd w:val="clear" w:color="auto" w:fill="FFFFFF"/>
        <w:tabs>
          <w:tab w:val="left" w:pos="6855"/>
        </w:tabs>
        <w:spacing w:after="360" w:line="360" w:lineRule="auto"/>
        <w:jc w:val="both"/>
        <w:rPr>
          <w:sz w:val="28"/>
          <w:shd w:val="clear" w:color="auto" w:fill="FFFFFF"/>
        </w:rPr>
      </w:pPr>
      <w:r w:rsidRPr="007823E2">
        <w:rPr>
          <w:sz w:val="28"/>
          <w:shd w:val="clear" w:color="auto" w:fill="FFFFFF"/>
        </w:rPr>
        <w:t xml:space="preserve">Many theories have been developed to explain the relationship between inequality and economic growth. These theories are divided into three classes according to the general </w:t>
      </w:r>
      <w:r>
        <w:rPr>
          <w:sz w:val="28"/>
          <w:shd w:val="clear" w:color="auto" w:fill="FFFFFF"/>
        </w:rPr>
        <w:t>framework</w:t>
      </w:r>
      <w:r w:rsidR="00B5100E">
        <w:rPr>
          <w:sz w:val="28"/>
          <w:shd w:val="clear" w:color="auto" w:fill="FFFFFF"/>
        </w:rPr>
        <w:t>.</w:t>
      </w:r>
      <w:r w:rsidR="00B5100E">
        <w:rPr>
          <w:rStyle w:val="FootnoteReference"/>
          <w:sz w:val="28"/>
          <w:shd w:val="clear" w:color="auto" w:fill="FFFFFF"/>
        </w:rPr>
        <w:footnoteReference w:id="2"/>
      </w:r>
      <w:r w:rsidR="00B5100E">
        <w:rPr>
          <w:sz w:val="28"/>
          <w:shd w:val="clear" w:color="auto" w:fill="FFFFFF"/>
        </w:rPr>
        <w:t xml:space="preserve"> </w:t>
      </w:r>
      <w:r w:rsidRPr="007823E2">
        <w:rPr>
          <w:sz w:val="28"/>
          <w:shd w:val="clear" w:color="auto" w:fill="FFFFFF"/>
        </w:rPr>
        <w:t xml:space="preserve">The first one is the classical approach that suggests that income inequality has a positive effect on economic growth, and the second is the neoclassical approach that suggests that inequality has no significant effect on economic growth, and the last one is the modern approach that suggests that the effect of inequality on growth through </w:t>
      </w:r>
      <w:r>
        <w:rPr>
          <w:sz w:val="28"/>
          <w:shd w:val="clear" w:color="auto" w:fill="FFFFFF"/>
        </w:rPr>
        <w:t xml:space="preserve">different channels is negative. </w:t>
      </w:r>
      <w:r w:rsidRPr="007823E2">
        <w:rPr>
          <w:sz w:val="28"/>
          <w:shd w:val="clear" w:color="auto" w:fill="FFFFFF"/>
        </w:rPr>
        <w:t>In addition to these approaches, the unified approach that brings together the classical and modern approach, which is another approach of Galor and Moav</w:t>
      </w:r>
      <w:r w:rsidR="00A779B8">
        <w:rPr>
          <w:rStyle w:val="FootnoteReference"/>
          <w:sz w:val="28"/>
          <w:shd w:val="clear" w:color="auto" w:fill="FFFFFF"/>
        </w:rPr>
        <w:footnoteReference w:id="3"/>
      </w:r>
      <w:r w:rsidRPr="007823E2">
        <w:rPr>
          <w:sz w:val="28"/>
          <w:shd w:val="clear" w:color="auto" w:fill="FFFFFF"/>
        </w:rPr>
        <w:t>, is mentioned. These approaches, which are taken into account in this chapter based on the classification of Galor</w:t>
      </w:r>
      <w:r w:rsidR="00A779B8">
        <w:rPr>
          <w:rStyle w:val="FootnoteReference"/>
          <w:sz w:val="28"/>
          <w:shd w:val="clear" w:color="auto" w:fill="FFFFFF"/>
        </w:rPr>
        <w:footnoteReference w:id="4"/>
      </w:r>
      <w:r w:rsidRPr="007823E2">
        <w:rPr>
          <w:sz w:val="28"/>
          <w:shd w:val="clear" w:color="auto" w:fill="FFFFFF"/>
        </w:rPr>
        <w:t>, will be summarized as a necessity to interpret the results.</w:t>
      </w:r>
    </w:p>
    <w:p w14:paraId="7462A4F0" w14:textId="77777777" w:rsidR="000A2A6F" w:rsidRDefault="000A2A6F" w:rsidP="00386818">
      <w:pPr>
        <w:pStyle w:val="NormalWeb"/>
        <w:shd w:val="clear" w:color="auto" w:fill="FFFFFF"/>
        <w:tabs>
          <w:tab w:val="left" w:pos="6855"/>
        </w:tabs>
        <w:spacing w:after="360" w:line="360" w:lineRule="auto"/>
        <w:jc w:val="both"/>
        <w:rPr>
          <w:sz w:val="28"/>
          <w:shd w:val="clear" w:color="auto" w:fill="FFFFFF"/>
        </w:rPr>
      </w:pPr>
    </w:p>
    <w:p w14:paraId="075E7B5C" w14:textId="77777777" w:rsidR="00102FD2" w:rsidRPr="00102FD2" w:rsidRDefault="00102FD2" w:rsidP="00102FD2">
      <w:pPr>
        <w:pStyle w:val="NormalWeb"/>
        <w:shd w:val="clear" w:color="auto" w:fill="FFFFFF"/>
        <w:tabs>
          <w:tab w:val="left" w:pos="6855"/>
        </w:tabs>
        <w:spacing w:after="360" w:line="360" w:lineRule="auto"/>
        <w:jc w:val="both"/>
        <w:rPr>
          <w:b/>
          <w:sz w:val="28"/>
          <w:shd w:val="clear" w:color="auto" w:fill="FFFFFF"/>
        </w:rPr>
      </w:pPr>
      <w:r w:rsidRPr="00102FD2">
        <w:rPr>
          <w:b/>
          <w:sz w:val="28"/>
          <w:shd w:val="clear" w:color="auto" w:fill="FFFFFF"/>
        </w:rPr>
        <w:t>Classical and Neoclassical Approach</w:t>
      </w:r>
    </w:p>
    <w:p w14:paraId="4EAF28C0" w14:textId="1E5DC930" w:rsidR="000A2A6F" w:rsidRDefault="00102FD2" w:rsidP="00DF6B0A">
      <w:pPr>
        <w:pStyle w:val="NormalWeb"/>
        <w:shd w:val="clear" w:color="auto" w:fill="FFFFFF"/>
        <w:tabs>
          <w:tab w:val="left" w:pos="6855"/>
        </w:tabs>
        <w:spacing w:line="360" w:lineRule="auto"/>
        <w:jc w:val="both"/>
        <w:rPr>
          <w:sz w:val="28"/>
          <w:shd w:val="clear" w:color="auto" w:fill="FFFFFF"/>
        </w:rPr>
      </w:pPr>
      <w:r w:rsidRPr="00102FD2">
        <w:rPr>
          <w:sz w:val="28"/>
          <w:shd w:val="clear" w:color="auto" w:fill="FFFFFF"/>
        </w:rPr>
        <w:t>The classic approach is to establish a relationship between inequality and saving tendency and to show that income inequality has a positive effect on the economic growth process. The basics of this ap</w:t>
      </w:r>
      <w:r w:rsidR="00F32B0B">
        <w:rPr>
          <w:sz w:val="28"/>
          <w:shd w:val="clear" w:color="auto" w:fill="FFFFFF"/>
        </w:rPr>
        <w:t>proach are based on Smith</w:t>
      </w:r>
      <w:r w:rsidRPr="00102FD2">
        <w:rPr>
          <w:sz w:val="28"/>
          <w:shd w:val="clear" w:color="auto" w:fill="FFFFFF"/>
        </w:rPr>
        <w:t>, and then reinterpreted and devel</w:t>
      </w:r>
      <w:r w:rsidR="00F32B0B">
        <w:rPr>
          <w:sz w:val="28"/>
          <w:shd w:val="clear" w:color="auto" w:fill="FFFFFF"/>
        </w:rPr>
        <w:t>oped by Keynes</w:t>
      </w:r>
      <w:r w:rsidR="00F32B0B">
        <w:rPr>
          <w:rStyle w:val="FootnoteReference"/>
          <w:sz w:val="28"/>
          <w:shd w:val="clear" w:color="auto" w:fill="FFFFFF"/>
        </w:rPr>
        <w:footnoteReference w:id="5"/>
      </w:r>
      <w:r w:rsidR="00F32B0B">
        <w:rPr>
          <w:sz w:val="28"/>
          <w:shd w:val="clear" w:color="auto" w:fill="FFFFFF"/>
        </w:rPr>
        <w:t>, Lewis</w:t>
      </w:r>
      <w:r w:rsidR="00F32B0B">
        <w:rPr>
          <w:rStyle w:val="FootnoteReference"/>
          <w:sz w:val="28"/>
          <w:shd w:val="clear" w:color="auto" w:fill="FFFFFF"/>
        </w:rPr>
        <w:footnoteReference w:id="6"/>
      </w:r>
      <w:r w:rsidR="00F32B0B">
        <w:rPr>
          <w:sz w:val="28"/>
          <w:shd w:val="clear" w:color="auto" w:fill="FFFFFF"/>
        </w:rPr>
        <w:t xml:space="preserve">, Kaldor </w:t>
      </w:r>
      <w:r w:rsidR="00F32B0B">
        <w:rPr>
          <w:rStyle w:val="FootnoteReference"/>
          <w:sz w:val="28"/>
          <w:shd w:val="clear" w:color="auto" w:fill="FFFFFF"/>
        </w:rPr>
        <w:footnoteReference w:id="7"/>
      </w:r>
      <w:r w:rsidR="00F32B0B">
        <w:rPr>
          <w:sz w:val="28"/>
          <w:shd w:val="clear" w:color="auto" w:fill="FFFFFF"/>
        </w:rPr>
        <w:t>and Bourguignon</w:t>
      </w:r>
      <w:r w:rsidR="00F32B0B">
        <w:rPr>
          <w:rStyle w:val="FootnoteReference"/>
          <w:sz w:val="28"/>
          <w:shd w:val="clear" w:color="auto" w:fill="FFFFFF"/>
        </w:rPr>
        <w:footnoteReference w:id="8"/>
      </w:r>
      <w:r w:rsidR="00DF6B0A">
        <w:rPr>
          <w:sz w:val="28"/>
          <w:shd w:val="clear" w:color="auto" w:fill="FFFFFF"/>
        </w:rPr>
        <w:t xml:space="preserve"> . </w:t>
      </w:r>
      <w:r w:rsidRPr="00102FD2">
        <w:rPr>
          <w:sz w:val="28"/>
          <w:shd w:val="clear" w:color="auto" w:fill="FFFFFF"/>
        </w:rPr>
        <w:t>The approach is based on the increase in the marginal saving trend as wealth increases through the saving function. In this case, resources are transferred to individuals with high marginal savings tendencies and the total savings increase. Therefore, economic growth accelerates w</w:t>
      </w:r>
      <w:r w:rsidR="00DF6B0A">
        <w:rPr>
          <w:sz w:val="28"/>
          <w:shd w:val="clear" w:color="auto" w:fill="FFFFFF"/>
        </w:rPr>
        <w:t xml:space="preserve">ith the accumulation of capital. </w:t>
      </w:r>
      <w:r w:rsidRPr="00102FD2">
        <w:rPr>
          <w:sz w:val="28"/>
          <w:shd w:val="clear" w:color="auto" w:fill="FFFFFF"/>
        </w:rPr>
        <w:t>The fact that the marginal savings tendency of wealthy individuals is higher than that of poor people, on the other hand, points out that economies with unequal income are growing faster than countries with an equal income.</w:t>
      </w:r>
      <w:r>
        <w:rPr>
          <w:sz w:val="28"/>
          <w:shd w:val="clear" w:color="auto" w:fill="FFFFFF"/>
        </w:rPr>
        <w:t xml:space="preserve"> </w:t>
      </w:r>
      <w:r w:rsidRPr="00102FD2">
        <w:rPr>
          <w:sz w:val="28"/>
          <w:shd w:val="clear" w:color="auto" w:fill="FFFFFF"/>
        </w:rPr>
        <w:t xml:space="preserve">In the classical approach, it is claimed that inequality is the feature of increasing economic growth; </w:t>
      </w:r>
      <w:r w:rsidR="007A0738" w:rsidRPr="00102FD2">
        <w:rPr>
          <w:sz w:val="28"/>
          <w:shd w:val="clear" w:color="auto" w:fill="FFFFFF"/>
        </w:rPr>
        <w:t>this</w:t>
      </w:r>
      <w:r w:rsidRPr="00102FD2">
        <w:rPr>
          <w:sz w:val="28"/>
          <w:shd w:val="clear" w:color="auto" w:fill="FFFFFF"/>
        </w:rPr>
        <w:t xml:space="preserve"> theory is rejected by the Neoclassical approach laid down by Solow and Swan. Inequality does not increase growth as the classical view argues, but inequality does not even have a significant impact on this process. Economists defending the classical view ignore the representative agent paradigm that dominates in the field of macroeconomics. The neoclassical approach rejects the relationship between heterogeneity and macroeconomic analysis, and thus the distribution of income distribution. This shows that the distribution of income has an effect on economic growth. Moreover, the observed relationship can be interpreted as an indirec</w:t>
      </w:r>
      <w:r w:rsidR="00DF6B0A">
        <w:rPr>
          <w:sz w:val="28"/>
          <w:shd w:val="clear" w:color="auto" w:fill="FFFFFF"/>
        </w:rPr>
        <w:t>t effect on income distribution.</w:t>
      </w:r>
      <w:r w:rsidR="00DF6B0A">
        <w:rPr>
          <w:rStyle w:val="FootnoteReference"/>
          <w:sz w:val="28"/>
          <w:shd w:val="clear" w:color="auto" w:fill="FFFFFF"/>
        </w:rPr>
        <w:footnoteReference w:id="9"/>
      </w:r>
    </w:p>
    <w:p w14:paraId="30BB2DA9" w14:textId="77777777" w:rsidR="00102FD2" w:rsidRDefault="00102FD2" w:rsidP="00102FD2">
      <w:pPr>
        <w:pStyle w:val="NormalWeb"/>
        <w:shd w:val="clear" w:color="auto" w:fill="FFFFFF"/>
        <w:tabs>
          <w:tab w:val="left" w:pos="6855"/>
        </w:tabs>
        <w:spacing w:after="360" w:line="360" w:lineRule="auto"/>
        <w:jc w:val="both"/>
        <w:rPr>
          <w:sz w:val="28"/>
          <w:shd w:val="clear" w:color="auto" w:fill="FFFFFF"/>
        </w:rPr>
      </w:pPr>
    </w:p>
    <w:p w14:paraId="17D3730E" w14:textId="77777777" w:rsidR="00102FD2" w:rsidRPr="00102FD2" w:rsidRDefault="00102FD2" w:rsidP="00102FD2">
      <w:pPr>
        <w:pStyle w:val="NormalWeb"/>
        <w:shd w:val="clear" w:color="auto" w:fill="FFFFFF"/>
        <w:tabs>
          <w:tab w:val="left" w:pos="6855"/>
        </w:tabs>
        <w:spacing w:after="360" w:line="360" w:lineRule="auto"/>
        <w:jc w:val="both"/>
        <w:rPr>
          <w:b/>
          <w:sz w:val="28"/>
          <w:shd w:val="clear" w:color="auto" w:fill="FFFFFF"/>
        </w:rPr>
      </w:pPr>
      <w:r w:rsidRPr="00102FD2">
        <w:rPr>
          <w:b/>
          <w:sz w:val="28"/>
          <w:shd w:val="clear" w:color="auto" w:fill="FFFFFF"/>
        </w:rPr>
        <w:t>Modern Approaches</w:t>
      </w:r>
    </w:p>
    <w:p w14:paraId="25F19E94" w14:textId="77777777" w:rsidR="000A2A6F" w:rsidRDefault="00102FD2" w:rsidP="00DF6B0A">
      <w:pPr>
        <w:pStyle w:val="NormalWeb"/>
        <w:shd w:val="clear" w:color="auto" w:fill="FFFFFF"/>
        <w:tabs>
          <w:tab w:val="left" w:pos="6855"/>
        </w:tabs>
        <w:spacing w:line="360" w:lineRule="auto"/>
        <w:jc w:val="both"/>
        <w:rPr>
          <w:sz w:val="28"/>
          <w:shd w:val="clear" w:color="auto" w:fill="FFFFFF"/>
        </w:rPr>
      </w:pPr>
      <w:r w:rsidRPr="00102FD2">
        <w:rPr>
          <w:sz w:val="28"/>
          <w:shd w:val="clear" w:color="auto" w:fill="FFFFFF"/>
        </w:rPr>
        <w:t>Under the modern approach, studies examining the relationship between inequality and economic growth can be classified into four di</w:t>
      </w:r>
      <w:r w:rsidR="00DF6B0A">
        <w:rPr>
          <w:sz w:val="28"/>
          <w:shd w:val="clear" w:color="auto" w:fill="FFFFFF"/>
        </w:rPr>
        <w:t>fferent approaches by following.</w:t>
      </w:r>
      <w:r w:rsidR="00DF6B0A">
        <w:rPr>
          <w:rStyle w:val="FootnoteReference"/>
          <w:sz w:val="28"/>
          <w:shd w:val="clear" w:color="auto" w:fill="FFFFFF"/>
        </w:rPr>
        <w:footnoteReference w:id="10"/>
      </w:r>
      <w:r w:rsidR="00DF6B0A">
        <w:rPr>
          <w:sz w:val="28"/>
          <w:shd w:val="clear" w:color="auto" w:fill="FFFFFF"/>
        </w:rPr>
        <w:t xml:space="preserve"> </w:t>
      </w:r>
      <w:r w:rsidRPr="00102FD2">
        <w:rPr>
          <w:sz w:val="28"/>
          <w:shd w:val="clear" w:color="auto" w:fill="FFFFFF"/>
        </w:rPr>
        <w:t>The common point of all these approaches is that there is a negative effect of income inequality on economic growth, while the difference between inequality affects the growth through which channels.</w:t>
      </w:r>
    </w:p>
    <w:p w14:paraId="415D59F9" w14:textId="77777777" w:rsidR="000A2A6F" w:rsidRDefault="000A2A6F" w:rsidP="00386818">
      <w:pPr>
        <w:pStyle w:val="NormalWeb"/>
        <w:shd w:val="clear" w:color="auto" w:fill="FFFFFF"/>
        <w:tabs>
          <w:tab w:val="left" w:pos="6855"/>
        </w:tabs>
        <w:spacing w:after="360" w:line="360" w:lineRule="auto"/>
        <w:jc w:val="both"/>
        <w:rPr>
          <w:sz w:val="28"/>
          <w:shd w:val="clear" w:color="auto" w:fill="FFFFFF"/>
        </w:rPr>
      </w:pPr>
    </w:p>
    <w:p w14:paraId="355186DD" w14:textId="77777777" w:rsidR="00D66317" w:rsidRDefault="00D66317" w:rsidP="00386818">
      <w:pPr>
        <w:pStyle w:val="NormalWeb"/>
        <w:shd w:val="clear" w:color="auto" w:fill="FFFFFF"/>
        <w:tabs>
          <w:tab w:val="left" w:pos="6855"/>
        </w:tabs>
        <w:spacing w:after="360" w:line="360" w:lineRule="auto"/>
        <w:jc w:val="both"/>
        <w:rPr>
          <w:sz w:val="28"/>
          <w:shd w:val="clear" w:color="auto" w:fill="FFFFFF"/>
        </w:rPr>
      </w:pPr>
    </w:p>
    <w:p w14:paraId="13AFAB39" w14:textId="77777777" w:rsidR="00710F05" w:rsidRPr="00D66317" w:rsidRDefault="00710F05" w:rsidP="00710F05">
      <w:pPr>
        <w:pStyle w:val="NormalWeb"/>
        <w:shd w:val="clear" w:color="auto" w:fill="FFFFFF"/>
        <w:tabs>
          <w:tab w:val="left" w:pos="6855"/>
        </w:tabs>
        <w:spacing w:after="360" w:line="360" w:lineRule="auto"/>
        <w:jc w:val="both"/>
        <w:rPr>
          <w:b/>
          <w:sz w:val="28"/>
          <w:shd w:val="clear" w:color="auto" w:fill="FFFFFF"/>
        </w:rPr>
      </w:pPr>
      <w:r w:rsidRPr="00D66317">
        <w:rPr>
          <w:b/>
          <w:sz w:val="28"/>
          <w:shd w:val="clear" w:color="auto" w:fill="FFFFFF"/>
        </w:rPr>
        <w:t>Credit Market Defects Approach</w:t>
      </w:r>
    </w:p>
    <w:p w14:paraId="55486280" w14:textId="77777777" w:rsidR="00710F05" w:rsidRPr="00710F05" w:rsidRDefault="00710F05" w:rsidP="00710F05">
      <w:pPr>
        <w:pStyle w:val="NormalWeb"/>
        <w:shd w:val="clear" w:color="auto" w:fill="FFFFFF"/>
        <w:tabs>
          <w:tab w:val="left" w:pos="6855"/>
        </w:tabs>
        <w:spacing w:after="360" w:line="360" w:lineRule="auto"/>
        <w:jc w:val="both"/>
        <w:rPr>
          <w:sz w:val="28"/>
          <w:shd w:val="clear" w:color="auto" w:fill="FFFFFF"/>
        </w:rPr>
      </w:pPr>
    </w:p>
    <w:p w14:paraId="54F7BC90" w14:textId="77777777" w:rsidR="00710F05" w:rsidRPr="00710F05" w:rsidRDefault="00710F05" w:rsidP="00710F05">
      <w:pPr>
        <w:pStyle w:val="NormalWeb"/>
        <w:shd w:val="clear" w:color="auto" w:fill="FFFFFF"/>
        <w:tabs>
          <w:tab w:val="left" w:pos="6855"/>
        </w:tabs>
        <w:spacing w:after="360" w:line="360" w:lineRule="auto"/>
        <w:jc w:val="both"/>
        <w:rPr>
          <w:sz w:val="28"/>
          <w:shd w:val="clear" w:color="auto" w:fill="FFFFFF"/>
        </w:rPr>
      </w:pPr>
      <w:r w:rsidRPr="00710F05">
        <w:rPr>
          <w:sz w:val="28"/>
          <w:shd w:val="clear" w:color="auto" w:fill="FFFFFF"/>
        </w:rPr>
        <w:t>The role of defective financial markets in the negative impact of income inequality on economic growth has been emphasized in different studies (Galor and Zeira, 1993; Banarjee and Newman, 1993; Aghion and Bolton, 1997). The deficiency of credit markets generally means asymmetric information and limited legal in</w:t>
      </w:r>
      <w:r w:rsidR="00D66317">
        <w:rPr>
          <w:sz w:val="28"/>
          <w:shd w:val="clear" w:color="auto" w:fill="FFFFFF"/>
        </w:rPr>
        <w:t>stitutions (Barro, 2000, p. 5).</w:t>
      </w:r>
    </w:p>
    <w:p w14:paraId="3F09C803" w14:textId="77777777" w:rsidR="000A2A6F" w:rsidRDefault="00710F05" w:rsidP="00710F05">
      <w:pPr>
        <w:pStyle w:val="NormalWeb"/>
        <w:shd w:val="clear" w:color="auto" w:fill="FFFFFF"/>
        <w:tabs>
          <w:tab w:val="left" w:pos="6855"/>
        </w:tabs>
        <w:spacing w:after="360" w:line="360" w:lineRule="auto"/>
        <w:jc w:val="both"/>
        <w:rPr>
          <w:sz w:val="28"/>
          <w:shd w:val="clear" w:color="auto" w:fill="FFFFFF"/>
        </w:rPr>
      </w:pPr>
      <w:r w:rsidRPr="00710F05">
        <w:rPr>
          <w:sz w:val="28"/>
          <w:shd w:val="clear" w:color="auto" w:fill="FFFFFF"/>
        </w:rPr>
        <w:t>In this approach, inequality affects economic growth negatively under some assumptions. The first of these assumptions is that the credit markets have seen in the work of Galor and Zeira (1993, p. 36) are flawed. This is due to the fact that the interest rate for borrowers is higher than that of the lenders. The second assumption is the indivisibility of human capital investments. Banarjee and Newman (1993) and Aghion and Bolton (1997) explain the heterogeneity of individuals with the difference of their initial wealth; this shows that fixed costs in individual and entrepreneurial projects cannot be covered by every individual. Another assumption is that Galor and Moav (2004) put forward the importance of savings and heritage as an increasing function of wealth.</w:t>
      </w:r>
    </w:p>
    <w:p w14:paraId="754B03E9" w14:textId="08D27969" w:rsidR="000A2A6F" w:rsidRDefault="00281015" w:rsidP="00386818">
      <w:pPr>
        <w:pStyle w:val="NormalWeb"/>
        <w:shd w:val="clear" w:color="auto" w:fill="FFFFFF"/>
        <w:tabs>
          <w:tab w:val="left" w:pos="6855"/>
        </w:tabs>
        <w:spacing w:after="360" w:line="360" w:lineRule="auto"/>
        <w:jc w:val="both"/>
        <w:rPr>
          <w:sz w:val="28"/>
          <w:shd w:val="clear" w:color="auto" w:fill="FFFFFF"/>
        </w:rPr>
      </w:pPr>
      <w:r w:rsidRPr="00281015">
        <w:rPr>
          <w:sz w:val="28"/>
          <w:shd w:val="clear" w:color="auto" w:fill="FFFFFF"/>
        </w:rPr>
        <w:t xml:space="preserve">Galor and Zeira (1993) in his study </w:t>
      </w:r>
      <w:r w:rsidR="0099269B" w:rsidRPr="00281015">
        <w:rPr>
          <w:sz w:val="28"/>
          <w:shd w:val="clear" w:color="auto" w:fill="FFFFFF"/>
        </w:rPr>
        <w:t>assume</w:t>
      </w:r>
      <w:r w:rsidRPr="00281015">
        <w:rPr>
          <w:sz w:val="28"/>
          <w:shd w:val="clear" w:color="auto" w:fill="FFFFFF"/>
        </w:rPr>
        <w:t xml:space="preserve"> that individuals are born with the same skills and preferences and differentiated by the inheritance of their families. Therefore, the decision to invest in labor and human capital depends on the inheritance of the family. If the individual has a high heritage, there will be more opportunity to invest in human capital, while the individual who does not have sufficient inheritance will be able to invest by borrowing. However, due to the credit market imperfections which are the basic assumption of the approach, the borrowing of poor individuals for their education is limited. According to the model, the initial distribution of wealth under the condition of defective credit markets and the fixed cost of investment affects total economic activities. These ef</w:t>
      </w:r>
      <w:r>
        <w:rPr>
          <w:sz w:val="28"/>
          <w:shd w:val="clear" w:color="auto" w:fill="FFFFFF"/>
        </w:rPr>
        <w:t>fects are also seen in the long-</w:t>
      </w:r>
      <w:r w:rsidRPr="00281015">
        <w:rPr>
          <w:sz w:val="28"/>
          <w:shd w:val="clear" w:color="auto" w:fill="FFFFFF"/>
        </w:rPr>
        <w:t>run with the indivisibility of human capital investments. If wealth is concentrated in a very small part of the economic population, only these families can invest in human capital and attempt for high-yielding projects. Because</w:t>
      </w:r>
      <w:r w:rsidR="0099269B">
        <w:rPr>
          <w:sz w:val="28"/>
          <w:shd w:val="clear" w:color="auto" w:fill="FFFFFF"/>
        </w:rPr>
        <w:t>,</w:t>
      </w:r>
      <w:r w:rsidRPr="00281015">
        <w:rPr>
          <w:sz w:val="28"/>
          <w:shd w:val="clear" w:color="auto" w:fill="FFFFFF"/>
        </w:rPr>
        <w:t xml:space="preserve"> the initial wealth and inheritance distribution of individuals is influential on the choice of profession due to credit market defects (Banarjee and Newman, 1993). Therefore, the inequality of initial wealth distribution with the permanent effect of intergenerational transfer and inequality; it will adversely affect investments and thus growth. Aghion et al. (1999) argues that the negative effect of inequality in growth has at least three reasons such as investment, incentive and macroeconomic volatility in economies where the capital market is flawed and wealth or human capital is heterogeneous among individuals.</w:t>
      </w:r>
    </w:p>
    <w:p w14:paraId="59E20644" w14:textId="77777777" w:rsidR="00D3234D" w:rsidRDefault="00D3234D" w:rsidP="00386818">
      <w:pPr>
        <w:pStyle w:val="NormalWeb"/>
        <w:shd w:val="clear" w:color="auto" w:fill="FFFFFF"/>
        <w:tabs>
          <w:tab w:val="left" w:pos="6855"/>
        </w:tabs>
        <w:spacing w:after="360" w:line="360" w:lineRule="auto"/>
        <w:jc w:val="both"/>
        <w:rPr>
          <w:sz w:val="28"/>
          <w:shd w:val="clear" w:color="auto" w:fill="FFFFFF"/>
        </w:rPr>
      </w:pPr>
    </w:p>
    <w:p w14:paraId="4F174C06" w14:textId="77777777" w:rsidR="00D3234D" w:rsidRPr="00D3234D" w:rsidRDefault="00D3234D" w:rsidP="00D3234D">
      <w:pPr>
        <w:pStyle w:val="NormalWeb"/>
        <w:shd w:val="clear" w:color="auto" w:fill="FFFFFF"/>
        <w:tabs>
          <w:tab w:val="left" w:pos="6855"/>
        </w:tabs>
        <w:spacing w:after="360" w:line="360" w:lineRule="auto"/>
        <w:jc w:val="both"/>
        <w:rPr>
          <w:b/>
          <w:sz w:val="28"/>
          <w:shd w:val="clear" w:color="auto" w:fill="FFFFFF"/>
        </w:rPr>
      </w:pPr>
      <w:r w:rsidRPr="00D3234D">
        <w:rPr>
          <w:b/>
          <w:sz w:val="28"/>
          <w:shd w:val="clear" w:color="auto" w:fill="FFFFFF"/>
        </w:rPr>
        <w:t>Political Economy Approach</w:t>
      </w:r>
    </w:p>
    <w:p w14:paraId="4BCC5C8B" w14:textId="77777777" w:rsidR="00D3234D" w:rsidRPr="00D3234D" w:rsidRDefault="00D3234D" w:rsidP="00D3234D">
      <w:pPr>
        <w:pStyle w:val="NormalWeb"/>
        <w:shd w:val="clear" w:color="auto" w:fill="FFFFFF"/>
        <w:tabs>
          <w:tab w:val="left" w:pos="6855"/>
        </w:tabs>
        <w:spacing w:after="360" w:line="360" w:lineRule="auto"/>
        <w:jc w:val="both"/>
        <w:rPr>
          <w:sz w:val="28"/>
          <w:shd w:val="clear" w:color="auto" w:fill="FFFFFF"/>
        </w:rPr>
      </w:pPr>
      <w:r w:rsidRPr="00D3234D">
        <w:rPr>
          <w:sz w:val="28"/>
          <w:shd w:val="clear" w:color="auto" w:fill="FFFFFF"/>
        </w:rPr>
        <w:t>The studies that explained the relationship between inequality and economic growth through state policies have intensified in the 1990s. This approach explains the relationship between inequality and economic growth through redistribution taxation. After Meltzer and Richard (1981) claim that income inequality leads to high redistribution taxation, many economists have continued to explain the relationship of redistribution and taxation in political economy with the voting model, and at the same time combined with economic growth theories (Perotti, 1993). and Tabellini, 1994; Alesina and Rodrik, 1994). In the voting model of the economy, which is the basis of this approach; it is argued that the concentration of voters below the average income would encourage the redistribution of resources towards the poor. On the other hand, the redistribution of the redistribution with high-income tax affe</w:t>
      </w:r>
      <w:r>
        <w:rPr>
          <w:sz w:val="28"/>
          <w:shd w:val="clear" w:color="auto" w:fill="FFFFFF"/>
        </w:rPr>
        <w:t>cts the investments negatively.</w:t>
      </w:r>
    </w:p>
    <w:p w14:paraId="7A071C94" w14:textId="77777777" w:rsidR="00D3234D" w:rsidRPr="00D3234D" w:rsidRDefault="00D3234D" w:rsidP="00D3234D">
      <w:pPr>
        <w:pStyle w:val="NormalWeb"/>
        <w:shd w:val="clear" w:color="auto" w:fill="FFFFFF"/>
        <w:tabs>
          <w:tab w:val="left" w:pos="6855"/>
        </w:tabs>
        <w:spacing w:after="360" w:line="360" w:lineRule="auto"/>
        <w:jc w:val="both"/>
        <w:rPr>
          <w:sz w:val="28"/>
          <w:shd w:val="clear" w:color="auto" w:fill="FFFFFF"/>
        </w:rPr>
      </w:pPr>
      <w:r w:rsidRPr="00D3234D">
        <w:rPr>
          <w:sz w:val="28"/>
          <w:shd w:val="clear" w:color="auto" w:fill="FFFFFF"/>
        </w:rPr>
        <w:t>The high level of income inequality leads to policies that do not protect property rights and do not allow the full return on investment. Economic growth; While knowledge is determined by capital and human capital accumulation, these accumulations depend on the ability of individuals to comply with tax policies and regulatory policies. In societies with high inequality, political decisions are likely to result in policies that lead to lower accumulation and lower growth (Persson and Tabellini, 1994). The inequality is caused by the median voter theory, which leads to a delayed policy adaptation (Alesina and Rodrik, 1994).</w:t>
      </w:r>
    </w:p>
    <w:p w14:paraId="7DE06308" w14:textId="77777777" w:rsidR="000A2A6F" w:rsidRDefault="00D3234D" w:rsidP="00D3234D">
      <w:pPr>
        <w:pStyle w:val="NormalWeb"/>
        <w:shd w:val="clear" w:color="auto" w:fill="FFFFFF"/>
        <w:tabs>
          <w:tab w:val="left" w:pos="6855"/>
        </w:tabs>
        <w:spacing w:after="360" w:line="360" w:lineRule="auto"/>
        <w:jc w:val="both"/>
        <w:rPr>
          <w:sz w:val="28"/>
          <w:shd w:val="clear" w:color="auto" w:fill="FFFFFF"/>
        </w:rPr>
      </w:pPr>
      <w:r w:rsidRPr="00D3234D">
        <w:rPr>
          <w:sz w:val="28"/>
          <w:shd w:val="clear" w:color="auto" w:fill="FFFFFF"/>
        </w:rPr>
        <w:t>In summary; According to the political economy approach, the negative effect of income and wealth inequality on economic growth arises from negative incentives in investments generated by high redistribution tax. Consequently, it is theoretically proved in many studies that the increase in inequality affects growth negatively through the political economy. As a result, although the political economy approach is still controversial, the most important point in these studies is the fact that political inequalities must be taken into account in the process of influencing economic growth.</w:t>
      </w:r>
    </w:p>
    <w:p w14:paraId="2444211F" w14:textId="77777777" w:rsidR="000A2A6F" w:rsidRDefault="000A2A6F" w:rsidP="00386818">
      <w:pPr>
        <w:pStyle w:val="NormalWeb"/>
        <w:shd w:val="clear" w:color="auto" w:fill="FFFFFF"/>
        <w:tabs>
          <w:tab w:val="left" w:pos="6855"/>
        </w:tabs>
        <w:spacing w:after="360" w:line="360" w:lineRule="auto"/>
        <w:jc w:val="both"/>
        <w:rPr>
          <w:sz w:val="28"/>
          <w:shd w:val="clear" w:color="auto" w:fill="FFFFFF"/>
        </w:rPr>
      </w:pPr>
    </w:p>
    <w:p w14:paraId="019D6BF3" w14:textId="77777777" w:rsidR="0099269B" w:rsidRPr="0099269B" w:rsidRDefault="0099269B" w:rsidP="0099269B">
      <w:pPr>
        <w:pStyle w:val="NormalWeb"/>
        <w:shd w:val="clear" w:color="auto" w:fill="FFFFFF"/>
        <w:tabs>
          <w:tab w:val="left" w:pos="6855"/>
        </w:tabs>
        <w:spacing w:after="360" w:line="360" w:lineRule="auto"/>
        <w:jc w:val="both"/>
        <w:rPr>
          <w:b/>
          <w:sz w:val="28"/>
          <w:shd w:val="clear" w:color="auto" w:fill="FFFFFF"/>
        </w:rPr>
      </w:pPr>
      <w:r w:rsidRPr="0099269B">
        <w:rPr>
          <w:b/>
          <w:sz w:val="28"/>
          <w:shd w:val="clear" w:color="auto" w:fill="FFFFFF"/>
        </w:rPr>
        <w:t>Sociopolitical Instability Approach</w:t>
      </w:r>
    </w:p>
    <w:p w14:paraId="0F430599" w14:textId="77777777" w:rsidR="0099269B" w:rsidRPr="0099269B" w:rsidRDefault="0099269B" w:rsidP="0099269B">
      <w:pPr>
        <w:pStyle w:val="NormalWeb"/>
        <w:shd w:val="clear" w:color="auto" w:fill="FFFFFF"/>
        <w:tabs>
          <w:tab w:val="left" w:pos="6855"/>
        </w:tabs>
        <w:spacing w:after="360" w:line="360" w:lineRule="auto"/>
        <w:jc w:val="both"/>
        <w:rPr>
          <w:sz w:val="28"/>
          <w:shd w:val="clear" w:color="auto" w:fill="FFFFFF"/>
        </w:rPr>
      </w:pPr>
    </w:p>
    <w:p w14:paraId="0D8861A0" w14:textId="193A7A87" w:rsidR="0099269B" w:rsidRDefault="0099269B" w:rsidP="0099269B">
      <w:pPr>
        <w:pStyle w:val="NormalWeb"/>
        <w:shd w:val="clear" w:color="auto" w:fill="FFFFFF"/>
        <w:tabs>
          <w:tab w:val="left" w:pos="6855"/>
        </w:tabs>
        <w:spacing w:after="360" w:line="360" w:lineRule="auto"/>
        <w:jc w:val="both"/>
        <w:rPr>
          <w:sz w:val="28"/>
          <w:shd w:val="clear" w:color="auto" w:fill="FFFFFF"/>
        </w:rPr>
      </w:pPr>
      <w:r w:rsidRPr="0099269B">
        <w:rPr>
          <w:sz w:val="28"/>
          <w:shd w:val="clear" w:color="auto" w:fill="FFFFFF"/>
        </w:rPr>
        <w:t>According to the theory known as socio-political instability, the effect of income inequality on economic growth is expected to be negative; because inequality increases the social tension expected not to produce good results for investments. It is seen that social and political instability is not taken into account in saving function in economic literature. In recent years, it is emphasized that the instability experienced in the economy causes uncertainty in the saving rates of individuals.</w:t>
      </w:r>
    </w:p>
    <w:p w14:paraId="0754EF8A" w14:textId="77777777" w:rsidR="0099269B" w:rsidRPr="0099269B" w:rsidRDefault="0099269B" w:rsidP="0099269B">
      <w:pPr>
        <w:pStyle w:val="NormalWeb"/>
        <w:shd w:val="clear" w:color="auto" w:fill="FFFFFF"/>
        <w:tabs>
          <w:tab w:val="left" w:pos="6855"/>
        </w:tabs>
        <w:spacing w:after="360" w:line="360" w:lineRule="auto"/>
        <w:jc w:val="both"/>
        <w:rPr>
          <w:sz w:val="28"/>
          <w:shd w:val="clear" w:color="auto" w:fill="FFFFFF"/>
        </w:rPr>
      </w:pPr>
      <w:r w:rsidRPr="0099269B">
        <w:rPr>
          <w:sz w:val="28"/>
          <w:shd w:val="clear" w:color="auto" w:fill="FFFFFF"/>
        </w:rPr>
        <w:t>Instability is defined as a new element of uncertainty in the decision-making process of the economic actor; because instability is often perceived as a forerunner of possible changes in the state regime, which may affect the individual's future total wealth and income levels. Therefore, in the study of Venieris and Gupta (1986), socio-political instability is considered as an important explanatory variable of savings.</w:t>
      </w:r>
    </w:p>
    <w:p w14:paraId="6076385A" w14:textId="77777777" w:rsidR="0099269B" w:rsidRPr="0099269B" w:rsidRDefault="0099269B" w:rsidP="0099269B">
      <w:pPr>
        <w:pStyle w:val="NormalWeb"/>
        <w:shd w:val="clear" w:color="auto" w:fill="FFFFFF"/>
        <w:tabs>
          <w:tab w:val="left" w:pos="6855"/>
        </w:tabs>
        <w:spacing w:after="360" w:line="360" w:lineRule="auto"/>
        <w:jc w:val="both"/>
        <w:rPr>
          <w:sz w:val="28"/>
          <w:shd w:val="clear" w:color="auto" w:fill="FFFFFF"/>
        </w:rPr>
      </w:pPr>
    </w:p>
    <w:p w14:paraId="325CCFE1" w14:textId="016FF719" w:rsidR="0099269B" w:rsidRPr="0099269B" w:rsidRDefault="0099269B" w:rsidP="0099269B">
      <w:pPr>
        <w:pStyle w:val="NormalWeb"/>
        <w:shd w:val="clear" w:color="auto" w:fill="FFFFFF"/>
        <w:tabs>
          <w:tab w:val="left" w:pos="6855"/>
        </w:tabs>
        <w:spacing w:after="360" w:line="360" w:lineRule="auto"/>
        <w:jc w:val="both"/>
        <w:rPr>
          <w:sz w:val="28"/>
          <w:shd w:val="clear" w:color="auto" w:fill="FFFFFF"/>
        </w:rPr>
      </w:pPr>
      <w:r w:rsidRPr="0099269B">
        <w:rPr>
          <w:sz w:val="28"/>
          <w:shd w:val="clear" w:color="auto" w:fill="FFFFFF"/>
        </w:rPr>
        <w:t>Kelly (2000), who examines the relationship between the crime factor and income inequality, which is the basis of socio-political instability, suggests that income inequality is a more important variable in explaining crime than other factors. Kelly (2000) explains the relationship between inequality and crime, while Becker's economic theory of crime; He focuses on the theory of social disorder in Shaw and McKay and Merton's theory of oppression. All these theories pointing out that the rate of crime will increase when income inequality increases, increases the importance and questioning of socio-political approach in examining the relationship between income inequality and economic growth.</w:t>
      </w:r>
    </w:p>
    <w:p w14:paraId="2D9FB5E5" w14:textId="77777777" w:rsidR="0099269B" w:rsidRPr="0099269B" w:rsidRDefault="0099269B" w:rsidP="0099269B">
      <w:pPr>
        <w:pStyle w:val="NormalWeb"/>
        <w:shd w:val="clear" w:color="auto" w:fill="FFFFFF"/>
        <w:tabs>
          <w:tab w:val="left" w:pos="6855"/>
        </w:tabs>
        <w:spacing w:after="360" w:line="360" w:lineRule="auto"/>
        <w:jc w:val="both"/>
        <w:rPr>
          <w:sz w:val="28"/>
          <w:shd w:val="clear" w:color="auto" w:fill="FFFFFF"/>
        </w:rPr>
      </w:pPr>
    </w:p>
    <w:p w14:paraId="6311CCC9" w14:textId="77777777" w:rsidR="0099269B" w:rsidRPr="0099269B" w:rsidRDefault="0099269B" w:rsidP="0099269B">
      <w:pPr>
        <w:pStyle w:val="NormalWeb"/>
        <w:shd w:val="clear" w:color="auto" w:fill="FFFFFF"/>
        <w:tabs>
          <w:tab w:val="left" w:pos="6855"/>
        </w:tabs>
        <w:spacing w:after="360" w:line="360" w:lineRule="auto"/>
        <w:jc w:val="both"/>
        <w:rPr>
          <w:sz w:val="28"/>
          <w:shd w:val="clear" w:color="auto" w:fill="FFFFFF"/>
        </w:rPr>
      </w:pPr>
      <w:r w:rsidRPr="0099269B">
        <w:rPr>
          <w:sz w:val="28"/>
          <w:shd w:val="clear" w:color="auto" w:fill="FFFFFF"/>
        </w:rPr>
        <w:t>Inequality, the rich race of democratic societies in the power race; in non-democratic societies it is seen as a driving force in increasing social unrest. This situation indicates that inequality directly increases political instability (Acemoglu and Robinson, 2001). Increasing social dissatisfaction and uneasiness affect the investments negatively by increasing the actions of coup, revolution and violence in the society and threatening the property rights of individuals. Decrease in investments due to the deterioration of peace and stability in society will ultimately adversely affect economic growth (Alesina and Perotti, 1996, pp. 1204-1205).</w:t>
      </w:r>
    </w:p>
    <w:p w14:paraId="3CEA1682" w14:textId="77777777" w:rsidR="0099269B" w:rsidRPr="0099269B" w:rsidRDefault="0099269B" w:rsidP="0099269B">
      <w:pPr>
        <w:pStyle w:val="NormalWeb"/>
        <w:shd w:val="clear" w:color="auto" w:fill="FFFFFF"/>
        <w:tabs>
          <w:tab w:val="left" w:pos="6855"/>
        </w:tabs>
        <w:spacing w:after="360" w:line="360" w:lineRule="auto"/>
        <w:jc w:val="both"/>
        <w:rPr>
          <w:sz w:val="28"/>
          <w:shd w:val="clear" w:color="auto" w:fill="FFFFFF"/>
        </w:rPr>
      </w:pPr>
    </w:p>
    <w:p w14:paraId="737B5802" w14:textId="3F671881" w:rsidR="0099269B" w:rsidRDefault="0099269B" w:rsidP="0099269B">
      <w:pPr>
        <w:pStyle w:val="NormalWeb"/>
        <w:shd w:val="clear" w:color="auto" w:fill="FFFFFF"/>
        <w:tabs>
          <w:tab w:val="left" w:pos="6855"/>
        </w:tabs>
        <w:spacing w:after="360" w:line="360" w:lineRule="auto"/>
        <w:jc w:val="both"/>
        <w:rPr>
          <w:sz w:val="28"/>
          <w:shd w:val="clear" w:color="auto" w:fill="FFFFFF"/>
        </w:rPr>
      </w:pPr>
      <w:r w:rsidRPr="0099269B">
        <w:rPr>
          <w:sz w:val="28"/>
          <w:shd w:val="clear" w:color="auto" w:fill="FFFFFF"/>
        </w:rPr>
        <w:t>The destructive activities that will disrupt the peace of the community will also threaten the stability of political institutions. In this case, the laws and other rules set forth in the society will be valid shorter than expected and the uncertainty will increase. Poor individuals' activities that will harm society will cause resources to be wasted and not to productive activities. In addition, any behavior that threatens property rights will affect investments negatively. Therefore, through inequality, socio-political unrest will lead to a reduction in the efficiency of the economy (Barro, 2000, p. 7).</w:t>
      </w:r>
    </w:p>
    <w:p w14:paraId="5DEC2771" w14:textId="77777777" w:rsidR="0099269B" w:rsidRDefault="0099269B" w:rsidP="0099269B">
      <w:pPr>
        <w:pStyle w:val="NormalWeb"/>
        <w:shd w:val="clear" w:color="auto" w:fill="FFFFFF"/>
        <w:tabs>
          <w:tab w:val="left" w:pos="6855"/>
        </w:tabs>
        <w:spacing w:after="360" w:line="360" w:lineRule="auto"/>
        <w:jc w:val="both"/>
        <w:rPr>
          <w:sz w:val="28"/>
          <w:shd w:val="clear" w:color="auto" w:fill="FFFFFF"/>
        </w:rPr>
      </w:pPr>
    </w:p>
    <w:p w14:paraId="64B75570" w14:textId="77777777" w:rsidR="00511201" w:rsidRPr="00511201" w:rsidRDefault="00511201" w:rsidP="00511201">
      <w:pPr>
        <w:pStyle w:val="NormalWeb"/>
        <w:shd w:val="clear" w:color="auto" w:fill="FFFFFF"/>
        <w:tabs>
          <w:tab w:val="left" w:pos="6855"/>
        </w:tabs>
        <w:spacing w:after="360" w:line="360" w:lineRule="auto"/>
        <w:jc w:val="both"/>
        <w:rPr>
          <w:b/>
          <w:sz w:val="28"/>
          <w:shd w:val="clear" w:color="auto" w:fill="FFFFFF"/>
        </w:rPr>
      </w:pPr>
      <w:r w:rsidRPr="00511201">
        <w:rPr>
          <w:b/>
          <w:sz w:val="28"/>
          <w:shd w:val="clear" w:color="auto" w:fill="FFFFFF"/>
        </w:rPr>
        <w:t>Unified Approach</w:t>
      </w:r>
    </w:p>
    <w:p w14:paraId="685585D9" w14:textId="77777777" w:rsidR="00511201" w:rsidRPr="00511201" w:rsidRDefault="00511201" w:rsidP="00511201">
      <w:pPr>
        <w:pStyle w:val="NormalWeb"/>
        <w:shd w:val="clear" w:color="auto" w:fill="FFFFFF"/>
        <w:tabs>
          <w:tab w:val="left" w:pos="6855"/>
        </w:tabs>
        <w:spacing w:after="360" w:line="360" w:lineRule="auto"/>
        <w:jc w:val="both"/>
        <w:rPr>
          <w:sz w:val="28"/>
          <w:shd w:val="clear" w:color="auto" w:fill="FFFFFF"/>
        </w:rPr>
      </w:pPr>
    </w:p>
    <w:p w14:paraId="33FCBFB5" w14:textId="77777777" w:rsidR="006031A7" w:rsidRDefault="006031A7" w:rsidP="006031A7">
      <w:pPr>
        <w:pStyle w:val="NormalWeb"/>
        <w:shd w:val="clear" w:color="auto" w:fill="FFFFFF"/>
        <w:tabs>
          <w:tab w:val="left" w:pos="6855"/>
        </w:tabs>
        <w:spacing w:after="360" w:line="360" w:lineRule="auto"/>
        <w:jc w:val="both"/>
        <w:rPr>
          <w:sz w:val="28"/>
          <w:shd w:val="clear" w:color="auto" w:fill="FFFFFF"/>
        </w:rPr>
      </w:pPr>
      <w:r w:rsidRPr="006031A7">
        <w:rPr>
          <w:sz w:val="28"/>
          <w:shd w:val="clear" w:color="auto" w:fill="FFFFFF"/>
        </w:rPr>
        <w:t>The last theoretical approach that explains the relationship between income inequality and economic growth is the unified growth model proposed by Galor and Moav (2004). In this model, the classical approach emphasizing the positive relationship between inequality and growth and the modern approach emphasizing the negative relationship are evaluated together.</w:t>
      </w:r>
    </w:p>
    <w:p w14:paraId="02534F7C" w14:textId="77777777" w:rsidR="006031A7" w:rsidRPr="006031A7" w:rsidRDefault="006031A7" w:rsidP="006031A7">
      <w:pPr>
        <w:pStyle w:val="NormalWeb"/>
        <w:shd w:val="clear" w:color="auto" w:fill="FFFFFF"/>
        <w:tabs>
          <w:tab w:val="left" w:pos="6855"/>
        </w:tabs>
        <w:spacing w:after="360" w:line="360" w:lineRule="auto"/>
        <w:jc w:val="both"/>
        <w:rPr>
          <w:sz w:val="28"/>
          <w:shd w:val="clear" w:color="auto" w:fill="FFFFFF"/>
        </w:rPr>
      </w:pPr>
      <w:r w:rsidRPr="006031A7">
        <w:rPr>
          <w:sz w:val="28"/>
          <w:shd w:val="clear" w:color="auto" w:fill="FFFFFF"/>
        </w:rPr>
        <w:t>Galor and Moab (2004) establish a growth model based on the displacement of physical capital and human capital as the main determinant of growth. The economic development process of Galor and Moab (2004) is divided into two regimes. The first phase of the development process with Regimen I in the model; By Regime II is also meant to be a further stage. Since physical capital is scarce in regime I, the return of human capital is lower than physical capital; therefore, the process of economic development takes place with physical capital. While it is not possible for poor people to carry out economic activities such as savings, capital accumulation and inheritance, the rich who have almost all of the capital in the economy increases their physical capital stock through inheritance; however, as long as the return of human capital is low compared to physical capital, the qualitative structure of the economy remains unchanged. In this process, inequality contributes to economic development by increasing the wealth and capital accumulation of individuals with high marginal savings rates. The process called Regime II is divided into three stages. As physical capital increases in the later stages of development, the rate of return on human capital increases as capital and capabilities complement each other. Therefore, investments in human capital accumulation are increasing. However, in the second phase of Regime II, only rich individuals can invest in human capital because of credit constraints and inheritance. When the wages increase due to the rich people who invest in both human and physical capital, the second stage is going on where the poor can also invest in some human capital. At this stage, human capital investments of the poor are still limited due to their inheritance. Equity in income distribution mitigates the negative effects of credit constraints and has a positive impact on human capital and growth. On the other hand, as the wages increase, the marginal savings tendency gap between individuals closes and the negative effect of equality on savings decreases. In this case, as the credit constraints are also highly binding, inequality now comes to the fore with the negative effect it creates on human capital rather than the positive effect on savings rates. However, if wages increase too much in phase III, access to credit will be eliminated for all individuals, and ultimately income distribution will not have a signifi</w:t>
      </w:r>
      <w:r>
        <w:rPr>
          <w:sz w:val="28"/>
          <w:shd w:val="clear" w:color="auto" w:fill="FFFFFF"/>
        </w:rPr>
        <w:t>cant impact on economic growth.</w:t>
      </w:r>
    </w:p>
    <w:p w14:paraId="511CFB86" w14:textId="77777777" w:rsidR="00930302" w:rsidRDefault="006031A7" w:rsidP="006031A7">
      <w:pPr>
        <w:pStyle w:val="NormalWeb"/>
        <w:shd w:val="clear" w:color="auto" w:fill="FFFFFF"/>
        <w:tabs>
          <w:tab w:val="left" w:pos="6855"/>
        </w:tabs>
        <w:spacing w:after="360" w:line="360" w:lineRule="auto"/>
        <w:jc w:val="both"/>
        <w:rPr>
          <w:sz w:val="28"/>
          <w:shd w:val="clear" w:color="auto" w:fill="FFFFFF"/>
        </w:rPr>
      </w:pPr>
      <w:r w:rsidRPr="006031A7">
        <w:rPr>
          <w:sz w:val="28"/>
          <w:shd w:val="clear" w:color="auto" w:fill="FFFFFF"/>
        </w:rPr>
        <w:t>In summary; the increase in inequality in economies where the rate of return of human capital is lower than physical capital positively affects economic growth; In countries where the rate of human capital returns is high, inequality appears to be an obstacle to economic growth.</w:t>
      </w:r>
    </w:p>
    <w:p w14:paraId="5FEA155A" w14:textId="77777777" w:rsidR="007823E2" w:rsidRDefault="007823E2" w:rsidP="00386818">
      <w:pPr>
        <w:pStyle w:val="NormalWeb"/>
        <w:shd w:val="clear" w:color="auto" w:fill="FFFFFF"/>
        <w:tabs>
          <w:tab w:val="left" w:pos="6855"/>
        </w:tabs>
        <w:spacing w:after="360" w:line="360" w:lineRule="auto"/>
        <w:jc w:val="both"/>
        <w:rPr>
          <w:sz w:val="28"/>
          <w:shd w:val="clear" w:color="auto" w:fill="FFFFFF"/>
        </w:rPr>
      </w:pPr>
    </w:p>
    <w:p w14:paraId="32420E17" w14:textId="77777777" w:rsidR="006031A7" w:rsidRDefault="006031A7" w:rsidP="00386818">
      <w:pPr>
        <w:pStyle w:val="NormalWeb"/>
        <w:shd w:val="clear" w:color="auto" w:fill="FFFFFF"/>
        <w:tabs>
          <w:tab w:val="left" w:pos="6855"/>
        </w:tabs>
        <w:spacing w:after="360" w:line="360" w:lineRule="auto"/>
        <w:jc w:val="both"/>
        <w:rPr>
          <w:sz w:val="28"/>
          <w:shd w:val="clear" w:color="auto" w:fill="FFFFFF"/>
        </w:rPr>
      </w:pPr>
    </w:p>
    <w:p w14:paraId="2B234D84" w14:textId="77777777" w:rsidR="006031A7" w:rsidRDefault="006031A7" w:rsidP="00386818">
      <w:pPr>
        <w:pStyle w:val="NormalWeb"/>
        <w:shd w:val="clear" w:color="auto" w:fill="FFFFFF"/>
        <w:tabs>
          <w:tab w:val="left" w:pos="6855"/>
        </w:tabs>
        <w:spacing w:after="360" w:line="360" w:lineRule="auto"/>
        <w:jc w:val="both"/>
        <w:rPr>
          <w:sz w:val="28"/>
          <w:shd w:val="clear" w:color="auto" w:fill="FFFFFF"/>
        </w:rPr>
      </w:pPr>
    </w:p>
    <w:p w14:paraId="04618D89" w14:textId="77777777" w:rsidR="006031A7" w:rsidRDefault="006031A7" w:rsidP="00386818">
      <w:pPr>
        <w:pStyle w:val="NormalWeb"/>
        <w:shd w:val="clear" w:color="auto" w:fill="FFFFFF"/>
        <w:tabs>
          <w:tab w:val="left" w:pos="6855"/>
        </w:tabs>
        <w:spacing w:after="360" w:line="360" w:lineRule="auto"/>
        <w:jc w:val="both"/>
        <w:rPr>
          <w:sz w:val="28"/>
          <w:shd w:val="clear" w:color="auto" w:fill="FFFFFF"/>
        </w:rPr>
      </w:pPr>
    </w:p>
    <w:p w14:paraId="7B28415F" w14:textId="77777777" w:rsidR="006255BC" w:rsidRDefault="006255BC" w:rsidP="00386818">
      <w:pPr>
        <w:pStyle w:val="NormalWeb"/>
        <w:shd w:val="clear" w:color="auto" w:fill="FFFFFF"/>
        <w:tabs>
          <w:tab w:val="left" w:pos="6855"/>
        </w:tabs>
        <w:spacing w:after="360" w:line="360" w:lineRule="auto"/>
        <w:jc w:val="both"/>
        <w:rPr>
          <w:sz w:val="28"/>
          <w:shd w:val="clear" w:color="auto" w:fill="FFFFFF"/>
        </w:rPr>
      </w:pPr>
    </w:p>
    <w:p w14:paraId="5260D31F" w14:textId="77777777" w:rsidR="006255BC" w:rsidRDefault="006255BC" w:rsidP="00386818">
      <w:pPr>
        <w:pStyle w:val="NormalWeb"/>
        <w:shd w:val="clear" w:color="auto" w:fill="FFFFFF"/>
        <w:tabs>
          <w:tab w:val="left" w:pos="6855"/>
        </w:tabs>
        <w:spacing w:after="360" w:line="360" w:lineRule="auto"/>
        <w:jc w:val="both"/>
        <w:rPr>
          <w:sz w:val="28"/>
          <w:shd w:val="clear" w:color="auto" w:fill="FFFFFF"/>
        </w:rPr>
      </w:pPr>
    </w:p>
    <w:p w14:paraId="67901E9B" w14:textId="77777777" w:rsidR="006255BC" w:rsidRDefault="006255BC" w:rsidP="00386818">
      <w:pPr>
        <w:pStyle w:val="NormalWeb"/>
        <w:shd w:val="clear" w:color="auto" w:fill="FFFFFF"/>
        <w:tabs>
          <w:tab w:val="left" w:pos="6855"/>
        </w:tabs>
        <w:spacing w:after="360" w:line="360" w:lineRule="auto"/>
        <w:jc w:val="both"/>
        <w:rPr>
          <w:sz w:val="28"/>
          <w:shd w:val="clear" w:color="auto" w:fill="FFFFFF"/>
        </w:rPr>
      </w:pPr>
    </w:p>
    <w:p w14:paraId="1EF3120D" w14:textId="77777777" w:rsidR="006255BC" w:rsidRDefault="006255BC" w:rsidP="00386818">
      <w:pPr>
        <w:pStyle w:val="NormalWeb"/>
        <w:shd w:val="clear" w:color="auto" w:fill="FFFFFF"/>
        <w:tabs>
          <w:tab w:val="left" w:pos="6855"/>
        </w:tabs>
        <w:spacing w:after="360" w:line="360" w:lineRule="auto"/>
        <w:jc w:val="both"/>
        <w:rPr>
          <w:sz w:val="28"/>
          <w:shd w:val="clear" w:color="auto" w:fill="FFFFFF"/>
        </w:rPr>
      </w:pPr>
    </w:p>
    <w:p w14:paraId="0B84BE9E" w14:textId="77777777" w:rsidR="00930302" w:rsidRDefault="00930302" w:rsidP="00386818">
      <w:pPr>
        <w:pStyle w:val="NormalWeb"/>
        <w:shd w:val="clear" w:color="auto" w:fill="FFFFFF"/>
        <w:tabs>
          <w:tab w:val="left" w:pos="6855"/>
        </w:tabs>
        <w:spacing w:after="360" w:line="360" w:lineRule="auto"/>
        <w:jc w:val="both"/>
        <w:rPr>
          <w:sz w:val="28"/>
          <w:shd w:val="clear" w:color="auto" w:fill="FFFFFF"/>
        </w:rPr>
      </w:pPr>
    </w:p>
    <w:p w14:paraId="4435DF93" w14:textId="77777777" w:rsidR="00303B43" w:rsidRDefault="00303B43" w:rsidP="00386818">
      <w:pPr>
        <w:pStyle w:val="NormalWeb"/>
        <w:shd w:val="clear" w:color="auto" w:fill="FFFFFF"/>
        <w:tabs>
          <w:tab w:val="left" w:pos="6855"/>
        </w:tabs>
        <w:spacing w:after="360" w:line="360" w:lineRule="auto"/>
        <w:jc w:val="both"/>
        <w:rPr>
          <w:sz w:val="28"/>
          <w:shd w:val="clear" w:color="auto" w:fill="FFFFFF"/>
        </w:rPr>
      </w:pPr>
    </w:p>
    <w:p w14:paraId="61CEF267" w14:textId="77777777" w:rsidR="00303B43" w:rsidRDefault="00303B43" w:rsidP="00386818">
      <w:pPr>
        <w:pStyle w:val="NormalWeb"/>
        <w:shd w:val="clear" w:color="auto" w:fill="FFFFFF"/>
        <w:tabs>
          <w:tab w:val="left" w:pos="6855"/>
        </w:tabs>
        <w:spacing w:after="360" w:line="360" w:lineRule="auto"/>
        <w:jc w:val="both"/>
        <w:rPr>
          <w:sz w:val="28"/>
          <w:shd w:val="clear" w:color="auto" w:fill="FFFFFF"/>
        </w:rPr>
      </w:pPr>
    </w:p>
    <w:p w14:paraId="5B3637C0" w14:textId="77777777" w:rsidR="00303B43" w:rsidRDefault="00303B43" w:rsidP="00386818">
      <w:pPr>
        <w:pStyle w:val="NormalWeb"/>
        <w:shd w:val="clear" w:color="auto" w:fill="FFFFFF"/>
        <w:tabs>
          <w:tab w:val="left" w:pos="6855"/>
        </w:tabs>
        <w:spacing w:after="360" w:line="360" w:lineRule="auto"/>
        <w:jc w:val="both"/>
        <w:rPr>
          <w:sz w:val="28"/>
          <w:shd w:val="clear" w:color="auto" w:fill="FFFFFF"/>
        </w:rPr>
      </w:pPr>
    </w:p>
    <w:p w14:paraId="4A05B4E3" w14:textId="77777777" w:rsidR="00303B43" w:rsidRDefault="00303B43" w:rsidP="00386818">
      <w:pPr>
        <w:pStyle w:val="NormalWeb"/>
        <w:shd w:val="clear" w:color="auto" w:fill="FFFFFF"/>
        <w:tabs>
          <w:tab w:val="left" w:pos="6855"/>
        </w:tabs>
        <w:spacing w:after="360" w:line="360" w:lineRule="auto"/>
        <w:jc w:val="both"/>
        <w:rPr>
          <w:sz w:val="28"/>
          <w:shd w:val="clear" w:color="auto" w:fill="FFFFFF"/>
        </w:rPr>
      </w:pPr>
    </w:p>
    <w:p w14:paraId="57F95722" w14:textId="77777777" w:rsidR="00303B43" w:rsidRDefault="00303B43" w:rsidP="00386818">
      <w:pPr>
        <w:pStyle w:val="NormalWeb"/>
        <w:shd w:val="clear" w:color="auto" w:fill="FFFFFF"/>
        <w:tabs>
          <w:tab w:val="left" w:pos="6855"/>
        </w:tabs>
        <w:spacing w:after="360" w:line="360" w:lineRule="auto"/>
        <w:jc w:val="both"/>
        <w:rPr>
          <w:sz w:val="28"/>
          <w:shd w:val="clear" w:color="auto" w:fill="FFFFFF"/>
        </w:rPr>
      </w:pPr>
    </w:p>
    <w:p w14:paraId="1390980F" w14:textId="77777777" w:rsidR="00303B43" w:rsidRPr="00386818" w:rsidRDefault="00303B43" w:rsidP="00386818">
      <w:pPr>
        <w:pStyle w:val="NormalWeb"/>
        <w:shd w:val="clear" w:color="auto" w:fill="FFFFFF"/>
        <w:tabs>
          <w:tab w:val="left" w:pos="6855"/>
        </w:tabs>
        <w:spacing w:after="360" w:line="360" w:lineRule="auto"/>
        <w:jc w:val="both"/>
        <w:rPr>
          <w:sz w:val="28"/>
          <w:shd w:val="clear" w:color="auto" w:fill="FFFFFF"/>
        </w:rPr>
      </w:pPr>
    </w:p>
    <w:p w14:paraId="7E9165AC" w14:textId="77777777" w:rsidR="00272A67" w:rsidRPr="001142E5" w:rsidRDefault="00272A67" w:rsidP="00272A67">
      <w:pPr>
        <w:pStyle w:val="Heading2"/>
        <w:rPr>
          <w:rFonts w:ascii="Times New Roman" w:hAnsi="Times New Roman" w:cs="Times New Roman"/>
        </w:rPr>
      </w:pPr>
      <w:bookmarkStart w:id="17" w:name="_Toc8434886"/>
      <w:bookmarkStart w:id="18" w:name="_Ref7128080"/>
      <w:bookmarkStart w:id="19" w:name="_Toc303675973"/>
      <w:r w:rsidRPr="00DF1366">
        <w:rPr>
          <w:rFonts w:ascii="Times New Roman" w:hAnsi="Times New Roman" w:cs="Times New Roman"/>
        </w:rPr>
        <w:t>Theoretical approach explaining economic inequality and its consequence</w:t>
      </w:r>
      <w:r>
        <w:rPr>
          <w:rFonts w:ascii="Times New Roman" w:hAnsi="Times New Roman" w:cs="Times New Roman"/>
        </w:rPr>
        <w:t>s</w:t>
      </w:r>
      <w:bookmarkEnd w:id="17"/>
    </w:p>
    <w:bookmarkEnd w:id="18"/>
    <w:p w14:paraId="2AF6731E" w14:textId="77777777" w:rsidR="007823E2" w:rsidRPr="00DF1366" w:rsidRDefault="007823E2" w:rsidP="007823E2">
      <w:pPr>
        <w:spacing w:after="360" w:line="360" w:lineRule="auto"/>
        <w:jc w:val="both"/>
      </w:pPr>
    </w:p>
    <w:p w14:paraId="4BAB14A6" w14:textId="41B17596" w:rsidR="007823E2" w:rsidRDefault="007823E2" w:rsidP="007823E2">
      <w:pPr>
        <w:pStyle w:val="NormalWeb"/>
        <w:shd w:val="clear" w:color="auto" w:fill="FFFFFF"/>
        <w:tabs>
          <w:tab w:val="left" w:pos="6855"/>
        </w:tabs>
        <w:spacing w:after="360" w:afterAutospacing="0" w:line="360" w:lineRule="auto"/>
        <w:jc w:val="both"/>
        <w:rPr>
          <w:sz w:val="28"/>
          <w:lang w:val="en-GB" w:eastAsia="en-GB"/>
        </w:rPr>
      </w:pPr>
      <w:r w:rsidRPr="00B87DC6">
        <w:rPr>
          <w:sz w:val="28"/>
          <w:lang w:val="en-GB" w:eastAsia="en-GB"/>
        </w:rPr>
        <w:t>Economic inequality is a system that covers the unequal distribution of income and opportunities among the various categories of people in society. It is a concern in nearly every country in the world, and people who have little chance of climbing the social ladder remain in poverty for the most part. If you were born in poverty, however, it does not automatically mean you have to remain poor. Because</w:t>
      </w:r>
      <w:r w:rsidR="00B4009D">
        <w:rPr>
          <w:sz w:val="28"/>
          <w:lang w:val="en-GB" w:eastAsia="en-GB"/>
        </w:rPr>
        <w:t>,</w:t>
      </w:r>
      <w:r w:rsidRPr="00B87DC6">
        <w:rPr>
          <w:sz w:val="28"/>
          <w:lang w:val="en-GB" w:eastAsia="en-GB"/>
        </w:rPr>
        <w:t xml:space="preserve"> in this period of time getting an education at all levels is a very simple process. It is possible to use increased skills, progress and training policies to help people reduce poverty and reduce inequality between them.</w:t>
      </w:r>
    </w:p>
    <w:p w14:paraId="7D43FA78" w14:textId="77777777" w:rsidR="007823E2" w:rsidRPr="00DF1366" w:rsidRDefault="007823E2" w:rsidP="007823E2">
      <w:pPr>
        <w:pStyle w:val="NormalWeb"/>
        <w:shd w:val="clear" w:color="auto" w:fill="FFFFFF"/>
        <w:tabs>
          <w:tab w:val="left" w:pos="6855"/>
        </w:tabs>
        <w:spacing w:after="360" w:afterAutospacing="0" w:line="360" w:lineRule="auto"/>
        <w:jc w:val="both"/>
        <w:rPr>
          <w:sz w:val="28"/>
          <w:lang w:eastAsia="en-GB"/>
        </w:rPr>
      </w:pPr>
      <w:r w:rsidRPr="00DF1366">
        <w:rPr>
          <w:sz w:val="28"/>
          <w:lang w:eastAsia="en-GB"/>
        </w:rPr>
        <w:t>Economic inequality encompasses a large variety of issues. It can refer to income distribution, which all countries try to measure the amount of money that people are paid and also try to maintain the distribution of wealth equally between their people. Important types of economic inequality not only are shown between countries or states but also are shown between different social groups of people.</w:t>
      </w:r>
    </w:p>
    <w:p w14:paraId="33ECC974" w14:textId="77777777" w:rsidR="007823E2" w:rsidRDefault="007823E2" w:rsidP="007823E2">
      <w:pPr>
        <w:pStyle w:val="NormalWeb"/>
        <w:shd w:val="clear" w:color="auto" w:fill="FFFFFF"/>
        <w:tabs>
          <w:tab w:val="left" w:pos="6855"/>
        </w:tabs>
        <w:spacing w:after="360" w:afterAutospacing="0" w:line="360" w:lineRule="auto"/>
        <w:jc w:val="both"/>
        <w:rPr>
          <w:sz w:val="28"/>
          <w:shd w:val="clear" w:color="auto" w:fill="FFFFFF"/>
        </w:rPr>
      </w:pPr>
      <w:r w:rsidRPr="00206B49">
        <w:rPr>
          <w:b/>
          <w:sz w:val="28"/>
          <w:shd w:val="clear" w:color="auto" w:fill="FFFFFF"/>
        </w:rPr>
        <w:t>Income inequality</w:t>
      </w:r>
      <w:r w:rsidRPr="00DF1366">
        <w:rPr>
          <w:sz w:val="28"/>
          <w:shd w:val="clear" w:color="auto" w:fill="FFFFFF"/>
        </w:rPr>
        <w:t xml:space="preserve"> measures big differences in the economy in which people get paid are. Income can mean salary, also other earnings that people make from owning shares, profits from selling companies. As we know, income inequality has been increasing over the last few decades. Frankly speaking, people who earn more money continue to gain more and more, while average earners continue to gain the same money or raising their money at a lower rate. However, income inequality cannot encompass all the process of people's different economic situations.</w:t>
      </w:r>
    </w:p>
    <w:p w14:paraId="7EAFE1FF" w14:textId="77777777" w:rsidR="000560E3" w:rsidRDefault="000560E3" w:rsidP="007823E2">
      <w:pPr>
        <w:pStyle w:val="NormalWeb"/>
        <w:shd w:val="clear" w:color="auto" w:fill="FFFFFF"/>
        <w:tabs>
          <w:tab w:val="left" w:pos="6855"/>
        </w:tabs>
        <w:spacing w:after="360" w:afterAutospacing="0" w:line="360" w:lineRule="auto"/>
        <w:jc w:val="both"/>
        <w:rPr>
          <w:sz w:val="28"/>
          <w:shd w:val="clear" w:color="auto" w:fill="FFFFFF"/>
        </w:rPr>
      </w:pPr>
    </w:p>
    <w:p w14:paraId="3C7DF497" w14:textId="77777777" w:rsidR="000560E3" w:rsidRDefault="000560E3" w:rsidP="007823E2">
      <w:pPr>
        <w:pStyle w:val="NormalWeb"/>
        <w:shd w:val="clear" w:color="auto" w:fill="FFFFFF"/>
        <w:tabs>
          <w:tab w:val="left" w:pos="6855"/>
        </w:tabs>
        <w:spacing w:after="360" w:afterAutospacing="0" w:line="360" w:lineRule="auto"/>
        <w:jc w:val="both"/>
        <w:rPr>
          <w:sz w:val="28"/>
          <w:shd w:val="clear" w:color="auto" w:fill="FFFFFF"/>
        </w:rPr>
      </w:pPr>
    </w:p>
    <w:p w14:paraId="1DF9245C" w14:textId="77777777" w:rsidR="00EC7FA1" w:rsidRDefault="00EC7FA1" w:rsidP="006255BC">
      <w:pPr>
        <w:pStyle w:val="NormalWeb"/>
        <w:shd w:val="clear" w:color="auto" w:fill="FFFFFF"/>
        <w:tabs>
          <w:tab w:val="left" w:pos="851"/>
          <w:tab w:val="left" w:pos="6855"/>
        </w:tabs>
        <w:spacing w:after="360" w:afterAutospacing="0" w:line="360" w:lineRule="auto"/>
        <w:jc w:val="both"/>
        <w:rPr>
          <w:sz w:val="28"/>
          <w:shd w:val="clear" w:color="auto" w:fill="FFFFFF"/>
        </w:rPr>
      </w:pPr>
      <w:r>
        <w:rPr>
          <w:noProof/>
        </w:rPr>
        <w:drawing>
          <wp:inline distT="0" distB="0" distL="0" distR="0" wp14:anchorId="5DEA7B12" wp14:editId="07804905">
            <wp:extent cx="5857875" cy="3302977"/>
            <wp:effectExtent l="0" t="0" r="0" b="0"/>
            <wp:docPr id="12" name="Picture 12" descr="C:\Users\li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der\Desktop\Cap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773" cy="3305175"/>
                    </a:xfrm>
                    <a:prstGeom prst="rect">
                      <a:avLst/>
                    </a:prstGeom>
                    <a:noFill/>
                    <a:ln>
                      <a:noFill/>
                    </a:ln>
                  </pic:spPr>
                </pic:pic>
              </a:graphicData>
            </a:graphic>
          </wp:inline>
        </w:drawing>
      </w:r>
    </w:p>
    <w:p w14:paraId="55C3BF06" w14:textId="77777777" w:rsidR="006255BC" w:rsidRDefault="006255BC" w:rsidP="007823E2">
      <w:pPr>
        <w:pStyle w:val="NormalWeb"/>
        <w:shd w:val="clear" w:color="auto" w:fill="FFFFFF"/>
        <w:tabs>
          <w:tab w:val="left" w:pos="6855"/>
        </w:tabs>
        <w:spacing w:after="360" w:line="360" w:lineRule="auto"/>
        <w:jc w:val="both"/>
        <w:rPr>
          <w:sz w:val="28"/>
          <w:shd w:val="clear" w:color="auto" w:fill="FFFFFF"/>
        </w:rPr>
      </w:pPr>
      <w:r>
        <w:rPr>
          <w:noProof/>
          <w:sz w:val="28"/>
          <w:shd w:val="clear" w:color="auto" w:fill="FFFFFF"/>
        </w:rPr>
        <w:drawing>
          <wp:inline distT="0" distB="0" distL="0" distR="0" wp14:anchorId="550D984C" wp14:editId="644B4DAD">
            <wp:extent cx="5800725" cy="695325"/>
            <wp:effectExtent l="0" t="0" r="9525" b="9525"/>
            <wp:docPr id="3" name="Picture 3" descr="C:\Users\li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der\Desktop\Captu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0725" cy="695325"/>
                    </a:xfrm>
                    <a:prstGeom prst="rect">
                      <a:avLst/>
                    </a:prstGeom>
                    <a:noFill/>
                    <a:ln>
                      <a:noFill/>
                    </a:ln>
                  </pic:spPr>
                </pic:pic>
              </a:graphicData>
            </a:graphic>
          </wp:inline>
        </w:drawing>
      </w:r>
    </w:p>
    <w:p w14:paraId="5742D156" w14:textId="77777777" w:rsidR="006255BC" w:rsidRDefault="006255BC" w:rsidP="007823E2">
      <w:pPr>
        <w:pStyle w:val="NormalWeb"/>
        <w:shd w:val="clear" w:color="auto" w:fill="FFFFFF"/>
        <w:tabs>
          <w:tab w:val="left" w:pos="6855"/>
        </w:tabs>
        <w:spacing w:after="360" w:line="360" w:lineRule="auto"/>
        <w:jc w:val="both"/>
        <w:rPr>
          <w:sz w:val="28"/>
          <w:shd w:val="clear" w:color="auto" w:fill="FFFFFF"/>
        </w:rPr>
      </w:pPr>
    </w:p>
    <w:p w14:paraId="689A3353" w14:textId="40EABE76" w:rsidR="000560E3" w:rsidRDefault="000560E3" w:rsidP="007823E2">
      <w:pPr>
        <w:pStyle w:val="NormalWeb"/>
        <w:shd w:val="clear" w:color="auto" w:fill="FFFFFF"/>
        <w:tabs>
          <w:tab w:val="left" w:pos="6855"/>
        </w:tabs>
        <w:spacing w:after="360" w:line="360" w:lineRule="auto"/>
        <w:jc w:val="both"/>
        <w:rPr>
          <w:sz w:val="28"/>
          <w:shd w:val="clear" w:color="auto" w:fill="FFFFFF"/>
        </w:rPr>
      </w:pPr>
    </w:p>
    <w:p w14:paraId="0DD0EB20" w14:textId="5184306E"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DF1366">
        <w:rPr>
          <w:sz w:val="28"/>
          <w:shd w:val="clear" w:color="auto" w:fill="FFFFFF"/>
        </w:rPr>
        <w:t xml:space="preserve">Another term is </w:t>
      </w:r>
      <w:r w:rsidRPr="00206B49">
        <w:rPr>
          <w:b/>
          <w:sz w:val="28"/>
          <w:shd w:val="clear" w:color="auto" w:fill="FFFFFF"/>
        </w:rPr>
        <w:t xml:space="preserve">wealth </w:t>
      </w:r>
      <w:r w:rsidRPr="00DF1366">
        <w:rPr>
          <w:sz w:val="28"/>
          <w:shd w:val="clear" w:color="auto" w:fill="FFFFFF"/>
        </w:rPr>
        <w:t>inequality.</w:t>
      </w:r>
      <w:r>
        <w:rPr>
          <w:sz w:val="28"/>
          <w:shd w:val="clear" w:color="auto" w:fill="FFFFFF"/>
        </w:rPr>
        <w:t xml:space="preserve"> </w:t>
      </w:r>
      <w:r w:rsidRPr="00DA2059">
        <w:rPr>
          <w:sz w:val="28"/>
          <w:shd w:val="clear" w:color="auto" w:fill="FFFFFF"/>
        </w:rPr>
        <w:t>Wealth inequality shows how a small group of people obtain</w:t>
      </w:r>
      <w:r>
        <w:rPr>
          <w:sz w:val="28"/>
          <w:shd w:val="clear" w:color="auto" w:fill="FFFFFF"/>
        </w:rPr>
        <w:t>s</w:t>
      </w:r>
      <w:r w:rsidRPr="00DA2059">
        <w:rPr>
          <w:sz w:val="28"/>
          <w:shd w:val="clear" w:color="auto" w:fill="FFFFFF"/>
        </w:rPr>
        <w:t xml:space="preserve"> the most of the world's stuff in unequal form. This stuff can be everything from homes and cars, to financial assets and shares in businesses. If people want to be wealthier, they should not focus on only increase their income, they also should try to obtain some assets such as owning a share of a business or owning a house.</w:t>
      </w:r>
    </w:p>
    <w:p w14:paraId="22D8D988"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C23719">
        <w:rPr>
          <w:sz w:val="28"/>
          <w:shd w:val="clear" w:color="auto" w:fill="FFFFFF"/>
        </w:rPr>
        <w:t>Although the concept of inequality has entered the people mind, the effects of highly intensive wea</w:t>
      </w:r>
      <w:r>
        <w:rPr>
          <w:sz w:val="28"/>
          <w:shd w:val="clear" w:color="auto" w:fill="FFFFFF"/>
        </w:rPr>
        <w:t xml:space="preserve">lth are still discussed and not understood enough by </w:t>
      </w:r>
      <w:r w:rsidRPr="00C23719">
        <w:rPr>
          <w:sz w:val="28"/>
          <w:shd w:val="clear" w:color="auto" w:fill="FFFFFF"/>
        </w:rPr>
        <w:t>observers.</w:t>
      </w:r>
      <w:r w:rsidRPr="00903947">
        <w:t xml:space="preserve"> </w:t>
      </w:r>
      <w:r w:rsidRPr="00903947">
        <w:rPr>
          <w:sz w:val="28"/>
          <w:shd w:val="clear" w:color="auto" w:fill="FFFFFF"/>
        </w:rPr>
        <w:t>Some researches show the advantages and disadvantages of economic inequality. Some levels of income inequality that</w:t>
      </w:r>
      <w:r>
        <w:rPr>
          <w:sz w:val="28"/>
          <w:shd w:val="clear" w:color="auto" w:fill="FFFFFF"/>
        </w:rPr>
        <w:t xml:space="preserve"> on the right cl</w:t>
      </w:r>
      <w:r>
        <w:rPr>
          <w:sz w:val="28"/>
          <w:shd w:val="clear" w:color="auto" w:fill="FFFFFF"/>
          <w:lang w:val="ru-RU"/>
        </w:rPr>
        <w:t>а</w:t>
      </w:r>
      <w:r w:rsidRPr="00903947">
        <w:rPr>
          <w:sz w:val="28"/>
          <w:shd w:val="clear" w:color="auto" w:fill="FFFFFF"/>
        </w:rPr>
        <w:t>im</w:t>
      </w:r>
      <w:r>
        <w:rPr>
          <w:sz w:val="28"/>
          <w:shd w:val="clear" w:color="auto" w:fill="FFFFFF"/>
        </w:rPr>
        <w:t xml:space="preserve"> are beneficial in spite of neg</w:t>
      </w:r>
      <w:r>
        <w:rPr>
          <w:sz w:val="28"/>
          <w:shd w:val="clear" w:color="auto" w:fill="FFFFFF"/>
          <w:lang w:val="ru-RU"/>
        </w:rPr>
        <w:t>а</w:t>
      </w:r>
      <w:r w:rsidRPr="00903947">
        <w:rPr>
          <w:sz w:val="28"/>
          <w:shd w:val="clear" w:color="auto" w:fill="FFFFFF"/>
        </w:rPr>
        <w:t>tive effects.</w:t>
      </w:r>
    </w:p>
    <w:p w14:paraId="741E0501"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00190B">
        <w:rPr>
          <w:sz w:val="28"/>
          <w:shd w:val="clear" w:color="auto" w:fill="FFFFFF"/>
        </w:rPr>
        <w:t>Global trends have led to an increasing wealth concentration in the hands of an ever-less number.</w:t>
      </w:r>
      <w:r w:rsidRPr="0000190B">
        <w:t xml:space="preserve"> </w:t>
      </w:r>
      <w:r w:rsidRPr="0000190B">
        <w:rPr>
          <w:sz w:val="28"/>
          <w:shd w:val="clear" w:color="auto" w:fill="FFFFFF"/>
        </w:rPr>
        <w:t>Though some strategies of conniving international economic inequality show very little modif</w:t>
      </w:r>
      <w:r>
        <w:rPr>
          <w:sz w:val="28"/>
          <w:shd w:val="clear" w:color="auto" w:fill="FFFFFF"/>
        </w:rPr>
        <w:t xml:space="preserve">ication in wealth distribution, </w:t>
      </w:r>
      <w:r w:rsidRPr="0000190B">
        <w:rPr>
          <w:sz w:val="28"/>
          <w:shd w:val="clear" w:color="auto" w:fill="FFFFFF"/>
        </w:rPr>
        <w:t>totally different strategies of conniving income or wealth tend to return up with different results.</w:t>
      </w:r>
      <w:r>
        <w:rPr>
          <w:sz w:val="28"/>
          <w:shd w:val="clear" w:color="auto" w:fill="FFFFFF"/>
        </w:rPr>
        <w:t xml:space="preserve"> </w:t>
      </w:r>
      <w:r w:rsidRPr="0000190B">
        <w:rPr>
          <w:sz w:val="28"/>
          <w:shd w:val="clear" w:color="auto" w:fill="FFFFFF"/>
        </w:rPr>
        <w:t>The bulk of analysts conclude an inequality is increasing. In 2013, nearly half all international wealth was owned by one per cent of the worldwide popu</w:t>
      </w:r>
      <w:r>
        <w:rPr>
          <w:sz w:val="28"/>
          <w:shd w:val="clear" w:color="auto" w:fill="FFFFFF"/>
        </w:rPr>
        <w:t>lation. On current trends, observers say</w:t>
      </w:r>
      <w:r w:rsidRPr="0000190B">
        <w:rPr>
          <w:sz w:val="28"/>
          <w:shd w:val="clear" w:color="auto" w:fill="FFFFFF"/>
        </w:rPr>
        <w:t>, in its latest analysis, it expects the wealthiest one per cent to possess over fifty per cent</w:t>
      </w:r>
      <w:r>
        <w:rPr>
          <w:sz w:val="28"/>
          <w:shd w:val="clear" w:color="auto" w:fill="FFFFFF"/>
        </w:rPr>
        <w:t xml:space="preserve"> of the world’s wealth by 2016. </w:t>
      </w:r>
      <w:r w:rsidRPr="0000190B">
        <w:rPr>
          <w:sz w:val="28"/>
          <w:shd w:val="clear" w:color="auto" w:fill="FFFFFF"/>
        </w:rPr>
        <w:t>The intra-national inequality has captured the eye of political, business and educational leadership in rich nations like Japan, Europe, and us.</w:t>
      </w:r>
    </w:p>
    <w:p w14:paraId="3EB2E5F5"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E22D5A">
        <w:rPr>
          <w:sz w:val="28"/>
          <w:shd w:val="clear" w:color="auto" w:fill="FFFFFF"/>
        </w:rPr>
        <w:t>The recommended consequences of the rich-poor divide square measure passing various. The majority of economists conclude an inequality is helpful overall for encouraging growth, improves the standard of life for all members of a society, or is simply a necessary a part of social progress. Different economists claim wealth concentrations produce constantly burdened minorities, exploit deprived populations, hinder the economic process, and cause various social issues.</w:t>
      </w:r>
    </w:p>
    <w:p w14:paraId="5F680DF5" w14:textId="77777777" w:rsidR="000560E3" w:rsidRDefault="000560E3" w:rsidP="007823E2">
      <w:pPr>
        <w:pStyle w:val="NormalWeb"/>
        <w:shd w:val="clear" w:color="auto" w:fill="FFFFFF"/>
        <w:tabs>
          <w:tab w:val="left" w:pos="6855"/>
        </w:tabs>
        <w:spacing w:after="360" w:line="360" w:lineRule="auto"/>
        <w:jc w:val="both"/>
        <w:rPr>
          <w:sz w:val="28"/>
          <w:shd w:val="clear" w:color="auto" w:fill="FFFFFF"/>
        </w:rPr>
      </w:pPr>
    </w:p>
    <w:p w14:paraId="702CC5BD" w14:textId="77777777" w:rsidR="003F5649" w:rsidRDefault="003F5649" w:rsidP="003F5649">
      <w:pPr>
        <w:pStyle w:val="NormalWeb"/>
        <w:shd w:val="clear" w:color="auto" w:fill="FFFFFF"/>
        <w:tabs>
          <w:tab w:val="left" w:pos="6855"/>
        </w:tabs>
        <w:spacing w:after="360" w:line="360" w:lineRule="auto"/>
        <w:jc w:val="both"/>
        <w:rPr>
          <w:sz w:val="28"/>
          <w:shd w:val="clear" w:color="auto" w:fill="FFFFFF"/>
        </w:rPr>
      </w:pPr>
      <w:r>
        <w:rPr>
          <w:noProof/>
          <w:sz w:val="28"/>
          <w:shd w:val="clear" w:color="auto" w:fill="FFFFFF"/>
        </w:rPr>
        <w:drawing>
          <wp:inline distT="0" distB="0" distL="0" distR="0" wp14:anchorId="5F7DF25F" wp14:editId="67AFD415">
            <wp:extent cx="6248399" cy="3467100"/>
            <wp:effectExtent l="0" t="0" r="635" b="0"/>
            <wp:docPr id="23" name="Picture 23" descr="C:\Users\li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der\Desktop\Captu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52301" cy="3469265"/>
                    </a:xfrm>
                    <a:prstGeom prst="rect">
                      <a:avLst/>
                    </a:prstGeom>
                    <a:noFill/>
                    <a:ln>
                      <a:noFill/>
                    </a:ln>
                  </pic:spPr>
                </pic:pic>
              </a:graphicData>
            </a:graphic>
          </wp:inline>
        </w:drawing>
      </w:r>
    </w:p>
    <w:p w14:paraId="0F0BCF1C"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p>
    <w:p w14:paraId="3BC5984A" w14:textId="4DBD80E3" w:rsidR="006255BC" w:rsidRPr="00E22D5A" w:rsidRDefault="006255BC" w:rsidP="007823E2">
      <w:pPr>
        <w:pStyle w:val="NormalWeb"/>
        <w:shd w:val="clear" w:color="auto" w:fill="FFFFFF"/>
        <w:tabs>
          <w:tab w:val="left" w:pos="6855"/>
        </w:tabs>
        <w:spacing w:after="360" w:line="360" w:lineRule="auto"/>
        <w:jc w:val="both"/>
        <w:rPr>
          <w:sz w:val="28"/>
          <w:shd w:val="clear" w:color="auto" w:fill="FFFFFF"/>
        </w:rPr>
      </w:pPr>
      <w:r>
        <w:rPr>
          <w:noProof/>
          <w:sz w:val="28"/>
          <w:shd w:val="clear" w:color="auto" w:fill="FFFFFF"/>
        </w:rPr>
        <w:drawing>
          <wp:inline distT="0" distB="0" distL="0" distR="0" wp14:anchorId="4894ED26" wp14:editId="3F8EE955">
            <wp:extent cx="5753100" cy="866775"/>
            <wp:effectExtent l="0" t="0" r="0" b="9525"/>
            <wp:docPr id="4" name="Picture 4" descr="C:\Users\li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der\Desktop\Captur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inline>
        </w:drawing>
      </w:r>
    </w:p>
    <w:p w14:paraId="089982B9" w14:textId="77777777" w:rsidR="000560E3" w:rsidRDefault="000560E3" w:rsidP="007823E2">
      <w:pPr>
        <w:pStyle w:val="NormalWeb"/>
        <w:shd w:val="clear" w:color="auto" w:fill="FFFFFF"/>
        <w:tabs>
          <w:tab w:val="left" w:pos="6855"/>
        </w:tabs>
        <w:spacing w:after="360" w:line="360" w:lineRule="auto"/>
        <w:jc w:val="both"/>
        <w:rPr>
          <w:b/>
          <w:sz w:val="28"/>
          <w:shd w:val="clear" w:color="auto" w:fill="FFFFFF"/>
        </w:rPr>
      </w:pPr>
    </w:p>
    <w:p w14:paraId="53151683" w14:textId="77777777" w:rsidR="007823E2" w:rsidRPr="002175CB" w:rsidRDefault="007823E2" w:rsidP="007823E2">
      <w:pPr>
        <w:pStyle w:val="NormalWeb"/>
        <w:shd w:val="clear" w:color="auto" w:fill="FFFFFF"/>
        <w:tabs>
          <w:tab w:val="left" w:pos="6855"/>
        </w:tabs>
        <w:spacing w:after="360" w:line="360" w:lineRule="auto"/>
        <w:jc w:val="both"/>
        <w:rPr>
          <w:b/>
          <w:sz w:val="28"/>
          <w:shd w:val="clear" w:color="auto" w:fill="FFFFFF"/>
        </w:rPr>
      </w:pPr>
      <w:r w:rsidRPr="002175CB">
        <w:rPr>
          <w:b/>
          <w:sz w:val="28"/>
          <w:shd w:val="clear" w:color="auto" w:fill="FFFFFF"/>
        </w:rPr>
        <w:t>The Benefits of Economic Inequality</w:t>
      </w:r>
    </w:p>
    <w:p w14:paraId="6B0D7DA9" w14:textId="77777777" w:rsidR="007823E2" w:rsidRPr="000E4F6E" w:rsidRDefault="007823E2" w:rsidP="007823E2">
      <w:pPr>
        <w:pStyle w:val="NormalWeb"/>
        <w:shd w:val="clear" w:color="auto" w:fill="FFFFFF"/>
        <w:tabs>
          <w:tab w:val="left" w:pos="6855"/>
        </w:tabs>
        <w:spacing w:after="360" w:line="360" w:lineRule="auto"/>
        <w:jc w:val="both"/>
        <w:rPr>
          <w:b/>
          <w:sz w:val="32"/>
          <w:shd w:val="clear" w:color="auto" w:fill="FFFFFF"/>
        </w:rPr>
      </w:pPr>
    </w:p>
    <w:p w14:paraId="7F9AAB49" w14:textId="77777777" w:rsidR="007823E2" w:rsidRPr="000E4F6E" w:rsidRDefault="007823E2" w:rsidP="007823E2">
      <w:pPr>
        <w:pStyle w:val="NormalWeb"/>
        <w:shd w:val="clear" w:color="auto" w:fill="FFFFFF"/>
        <w:tabs>
          <w:tab w:val="left" w:pos="6855"/>
        </w:tabs>
        <w:spacing w:after="360" w:line="360" w:lineRule="auto"/>
        <w:jc w:val="both"/>
        <w:rPr>
          <w:sz w:val="28"/>
          <w:u w:val="single"/>
          <w:shd w:val="clear" w:color="auto" w:fill="FFFFFF"/>
        </w:rPr>
      </w:pPr>
      <w:r w:rsidRPr="000E4F6E">
        <w:rPr>
          <w:sz w:val="28"/>
          <w:u w:val="single"/>
          <w:shd w:val="clear" w:color="auto" w:fill="FFFFFF"/>
        </w:rPr>
        <w:t>Inequality Drives Growth</w:t>
      </w:r>
    </w:p>
    <w:p w14:paraId="6BAA0920" w14:textId="77777777" w:rsidR="007823E2" w:rsidRPr="0016582F" w:rsidRDefault="007823E2" w:rsidP="007823E2">
      <w:pPr>
        <w:pStyle w:val="NormalWeb"/>
        <w:shd w:val="clear" w:color="auto" w:fill="FFFFFF"/>
        <w:tabs>
          <w:tab w:val="left" w:pos="6855"/>
        </w:tabs>
        <w:spacing w:after="360" w:line="360" w:lineRule="auto"/>
        <w:jc w:val="both"/>
        <w:rPr>
          <w:sz w:val="28"/>
          <w:shd w:val="clear" w:color="auto" w:fill="FFFFFF"/>
        </w:rPr>
      </w:pPr>
      <w:r w:rsidRPr="002E0F26">
        <w:rPr>
          <w:sz w:val="28"/>
          <w:shd w:val="clear" w:color="auto" w:fill="FFFFFF"/>
        </w:rPr>
        <w:t>Increasing economic inequality levels usually correlate with economic growth. In 1979, the Chinese government for stimulating the economy introduced many new programs.</w:t>
      </w:r>
      <w:r>
        <w:t xml:space="preserve"> </w:t>
      </w:r>
      <w:r w:rsidRPr="00CD6331">
        <w:rPr>
          <w:sz w:val="28"/>
          <w:shd w:val="clear" w:color="auto" w:fill="FFFFFF"/>
        </w:rPr>
        <w:t>Soon thereafter, the annual growth rate of Chinese GDP increased rapidly from 5.3% in 1979 to over 15% in 1984.</w:t>
      </w:r>
      <w:r>
        <w:rPr>
          <w:sz w:val="28"/>
          <w:shd w:val="clear" w:color="auto" w:fill="FFFFFF"/>
        </w:rPr>
        <w:t xml:space="preserve"> </w:t>
      </w:r>
      <w:r w:rsidRPr="0016582F">
        <w:rPr>
          <w:sz w:val="28"/>
          <w:shd w:val="clear" w:color="auto" w:fill="FFFFFF"/>
        </w:rPr>
        <w:t>In the years that followed, the growth rate rose and fell, but since the 1980s, China has generally maintained one of the highest growth rates in the world.</w:t>
      </w:r>
      <w:r w:rsidRPr="0016582F">
        <w:t xml:space="preserve"> </w:t>
      </w:r>
      <w:r w:rsidRPr="0016582F">
        <w:rPr>
          <w:sz w:val="28"/>
          <w:shd w:val="clear" w:color="auto" w:fill="FFFFFF"/>
        </w:rPr>
        <w:t>Economic inequality in China also increased noticeably during the same period as rapid Chinese economic growth occurred. China currently has one of the world's highest disparities in wealth.</w:t>
      </w:r>
    </w:p>
    <w:p w14:paraId="752D0955" w14:textId="77777777" w:rsidR="007823E2" w:rsidRPr="002E0F26" w:rsidRDefault="007823E2" w:rsidP="007823E2">
      <w:pPr>
        <w:pStyle w:val="NormalWeb"/>
        <w:shd w:val="clear" w:color="auto" w:fill="FFFFFF"/>
        <w:tabs>
          <w:tab w:val="left" w:pos="6855"/>
        </w:tabs>
        <w:spacing w:after="360" w:line="360" w:lineRule="auto"/>
        <w:jc w:val="both"/>
        <w:rPr>
          <w:sz w:val="28"/>
          <w:shd w:val="clear" w:color="auto" w:fill="FFFFFF"/>
        </w:rPr>
      </w:pPr>
      <w:r w:rsidRPr="0016582F">
        <w:rPr>
          <w:sz w:val="28"/>
          <w:shd w:val="clear" w:color="auto" w:fill="FFFFFF"/>
        </w:rPr>
        <w:t>Another example showing the apparent correlation between economic growth and disparity in wealth is the economic expansion experienced by the Un</w:t>
      </w:r>
      <w:r w:rsidR="0091737E">
        <w:rPr>
          <w:sz w:val="28"/>
          <w:shd w:val="clear" w:color="auto" w:fill="FFFFFF"/>
        </w:rPr>
        <w:t xml:space="preserve">ited States in the years before </w:t>
      </w:r>
      <w:r w:rsidRPr="0016582F">
        <w:rPr>
          <w:sz w:val="28"/>
          <w:shd w:val="clear" w:color="auto" w:fill="FFFFFF"/>
        </w:rPr>
        <w:t>2008.</w:t>
      </w:r>
      <w:r>
        <w:rPr>
          <w:sz w:val="28"/>
          <w:shd w:val="clear" w:color="auto" w:fill="FFFFFF"/>
        </w:rPr>
        <w:t xml:space="preserve"> </w:t>
      </w:r>
      <w:r w:rsidRPr="000367A3">
        <w:rPr>
          <w:sz w:val="28"/>
          <w:shd w:val="clear" w:color="auto" w:fill="FFFFFF"/>
        </w:rPr>
        <w:t>This period coincided with higher income inequality rates. During the economic recession, inequality fell between 2007 and 2008. Then, as the U.S. economy recovered from the recession, income inequality rates also recovered.</w:t>
      </w:r>
    </w:p>
    <w:p w14:paraId="5BCBF3B2"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B87DC6">
        <w:rPr>
          <w:sz w:val="28"/>
          <w:shd w:val="clear" w:color="auto" w:fill="FFFFFF"/>
        </w:rPr>
        <w:t>Some observers claim the correlation provides evidence of economic inequality in a variety of ways that drives growth. First, when inequality is pronounced, incentives for innovation and entrepreneurship are greater.</w:t>
      </w:r>
      <w:r>
        <w:rPr>
          <w:sz w:val="28"/>
          <w:shd w:val="clear" w:color="auto" w:fill="FFFFFF"/>
        </w:rPr>
        <w:t xml:space="preserve"> </w:t>
      </w:r>
      <w:r w:rsidRPr="00B87DC6">
        <w:rPr>
          <w:sz w:val="28"/>
          <w:shd w:val="clear" w:color="auto" w:fill="FFFFFF"/>
        </w:rPr>
        <w:t>For example, large wage-earning executive positions create an incentive for lower-paid workers to win coveted jobs. A society's less wealthy members are working harder, creating new businesses, or inventing new products to join the highest income group.</w:t>
      </w:r>
      <w:r>
        <w:rPr>
          <w:sz w:val="28"/>
          <w:shd w:val="clear" w:color="auto" w:fill="FFFFFF"/>
        </w:rPr>
        <w:t xml:space="preserve"> </w:t>
      </w:r>
      <w:r w:rsidRPr="00B87DC6">
        <w:rPr>
          <w:sz w:val="28"/>
          <w:shd w:val="clear" w:color="auto" w:fill="FFFFFF"/>
        </w:rPr>
        <w:t>On the other hand, when the income gap is small, there is less incentive for those in lower income groups to move up in income.</w:t>
      </w:r>
    </w:p>
    <w:p w14:paraId="3A50CA35"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BB4306">
        <w:rPr>
          <w:sz w:val="28"/>
          <w:shd w:val="clear" w:color="auto" w:fill="FFFFFF"/>
        </w:rPr>
        <w:t>Therefore, some economists argue that these disparities in wealth are an inevitable part of a successful economy. Kaldor maintains that there are pulls towards wealth concentration in long-term market patterns.</w:t>
      </w:r>
      <w:r>
        <w:rPr>
          <w:sz w:val="28"/>
          <w:shd w:val="clear" w:color="auto" w:fill="FFFFFF"/>
        </w:rPr>
        <w:t xml:space="preserve"> </w:t>
      </w:r>
      <w:r w:rsidRPr="000E4F6E">
        <w:rPr>
          <w:sz w:val="28"/>
          <w:shd w:val="clear" w:color="auto" w:fill="FFFFFF"/>
        </w:rPr>
        <w:t>He shows how lower profit margins, lower consumption levels, lower employment, and lower total income result in short-term, where inequality is at a minimum, relatively low investment levels. The market then demands higher investment and innovation levels. To develop innovations and inventions, these increased levels of investment demand and the trend of technological progress require deep pools of capital. Development process and investment demand lead to increased capital concentration. Therefore, wealth concentration leads to a growing division between the poor or middle classes and the wealthy investment class.</w:t>
      </w:r>
    </w:p>
    <w:p w14:paraId="486A253A" w14:textId="77777777" w:rsidR="007823E2" w:rsidRPr="000E4F6E" w:rsidRDefault="007823E2" w:rsidP="007823E2">
      <w:pPr>
        <w:pStyle w:val="NormalWeb"/>
        <w:shd w:val="clear" w:color="auto" w:fill="FFFFFF"/>
        <w:tabs>
          <w:tab w:val="left" w:pos="6855"/>
        </w:tabs>
        <w:spacing w:after="360" w:line="360" w:lineRule="auto"/>
        <w:jc w:val="both"/>
        <w:rPr>
          <w:sz w:val="32"/>
          <w:shd w:val="clear" w:color="auto" w:fill="FFFFFF"/>
        </w:rPr>
      </w:pPr>
    </w:p>
    <w:p w14:paraId="2B22F0F9" w14:textId="77777777" w:rsidR="007823E2" w:rsidRDefault="007823E2" w:rsidP="007823E2">
      <w:pPr>
        <w:pStyle w:val="NormalWeb"/>
        <w:shd w:val="clear" w:color="auto" w:fill="FFFFFF"/>
        <w:tabs>
          <w:tab w:val="left" w:pos="6855"/>
        </w:tabs>
        <w:spacing w:after="360" w:line="360" w:lineRule="auto"/>
        <w:jc w:val="both"/>
        <w:rPr>
          <w:sz w:val="28"/>
          <w:u w:val="single"/>
          <w:shd w:val="clear" w:color="auto" w:fill="FFFFFF"/>
        </w:rPr>
      </w:pPr>
      <w:r w:rsidRPr="000E4F6E">
        <w:rPr>
          <w:sz w:val="28"/>
          <w:u w:val="single"/>
          <w:shd w:val="clear" w:color="auto" w:fill="FFFFFF"/>
        </w:rPr>
        <w:t>Inequality Increases Fairness</w:t>
      </w:r>
    </w:p>
    <w:p w14:paraId="76833E32"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3E3C68">
        <w:rPr>
          <w:sz w:val="28"/>
          <w:shd w:val="clear" w:color="auto" w:fill="FFFFFF"/>
        </w:rPr>
        <w:t>Some argue that a society with marked economic inequality is fairer than a society with a distribution of wealth that is generally equal. As discussed above, unconstrained markets naturally tend to develop pronounced economic inequalities. Therefore, economic equality generally requires the use of redistributive state policies such as progressive taxes. Basically, economic equality requires the "have's" to be taken and given to the "have not."</w:t>
      </w:r>
    </w:p>
    <w:p w14:paraId="23F5F7C8" w14:textId="77777777" w:rsidR="007823E2" w:rsidRPr="00CD782B" w:rsidRDefault="007823E2" w:rsidP="007823E2">
      <w:pPr>
        <w:pStyle w:val="NormalWeb"/>
        <w:shd w:val="clear" w:color="auto" w:fill="FFFFFF"/>
        <w:tabs>
          <w:tab w:val="left" w:pos="6855"/>
        </w:tabs>
        <w:spacing w:after="360" w:line="360" w:lineRule="auto"/>
        <w:jc w:val="both"/>
        <w:rPr>
          <w:sz w:val="28"/>
          <w:shd w:val="clear" w:color="auto" w:fill="FFFFFF"/>
        </w:rPr>
      </w:pPr>
      <w:r w:rsidRPr="003E3C68">
        <w:rPr>
          <w:sz w:val="28"/>
          <w:shd w:val="clear" w:color="auto" w:fill="FFFFFF"/>
        </w:rPr>
        <w:t>In part, the idea that property rights should be the basis of neoliberal economic theory should be relatively inviolate forms. The state is seen as a kind of evil necessary to facilitate a market that o</w:t>
      </w:r>
      <w:r>
        <w:rPr>
          <w:sz w:val="28"/>
          <w:shd w:val="clear" w:color="auto" w:fill="FFFFFF"/>
        </w:rPr>
        <w:t xml:space="preserve">perates freely and rationally. </w:t>
      </w:r>
      <w:r w:rsidRPr="003E3C68">
        <w:rPr>
          <w:sz w:val="28"/>
          <w:shd w:val="clear" w:color="auto" w:fill="FFFFFF"/>
        </w:rPr>
        <w:t>Political interference with natural economic processes, such as economic inequality, should be kept to a minimum because the moral rights of independence and individual freedom are disrupted by substantial government involvement.</w:t>
      </w:r>
    </w:p>
    <w:p w14:paraId="2E2F71A0"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CD782B">
        <w:rPr>
          <w:sz w:val="28"/>
          <w:shd w:val="clear" w:color="auto" w:fill="FFFFFF"/>
        </w:rPr>
        <w:t>Redistribution does not seem fair to some, particularly from the wealth</w:t>
      </w:r>
      <w:r>
        <w:rPr>
          <w:sz w:val="28"/>
          <w:shd w:val="clear" w:color="auto" w:fill="FFFFFF"/>
        </w:rPr>
        <w:t>y</w:t>
      </w:r>
      <w:r w:rsidRPr="00CD782B">
        <w:rPr>
          <w:sz w:val="28"/>
          <w:shd w:val="clear" w:color="auto" w:fill="FFFFFF"/>
        </w:rPr>
        <w:t>’s perspective. Taxes and other redistributive policies that involuntarily take assets from individuals without an equivalent exchange in order to reduce income inequality. While redistributive policies generally benefit all members of a society, the wealthy segments of society bear the majority of the cost of these social benefits.</w:t>
      </w:r>
    </w:p>
    <w:p w14:paraId="6D26C2EA" w14:textId="77777777" w:rsidR="007823E2" w:rsidRDefault="007823E2" w:rsidP="007823E2">
      <w:pPr>
        <w:pStyle w:val="NormalWeb"/>
        <w:shd w:val="clear" w:color="auto" w:fill="FFFFFF"/>
        <w:tabs>
          <w:tab w:val="left" w:pos="6855"/>
        </w:tabs>
        <w:spacing w:after="360" w:line="360" w:lineRule="auto"/>
        <w:jc w:val="both"/>
        <w:rPr>
          <w:b/>
          <w:sz w:val="28"/>
          <w:shd w:val="clear" w:color="auto" w:fill="FFFFFF"/>
        </w:rPr>
      </w:pPr>
    </w:p>
    <w:p w14:paraId="04389C1F" w14:textId="77777777" w:rsidR="000560E3" w:rsidRPr="00CD782B" w:rsidRDefault="000560E3" w:rsidP="007823E2">
      <w:pPr>
        <w:pStyle w:val="NormalWeb"/>
        <w:shd w:val="clear" w:color="auto" w:fill="FFFFFF"/>
        <w:tabs>
          <w:tab w:val="left" w:pos="6855"/>
        </w:tabs>
        <w:spacing w:after="360" w:line="360" w:lineRule="auto"/>
        <w:jc w:val="both"/>
        <w:rPr>
          <w:b/>
          <w:sz w:val="28"/>
          <w:shd w:val="clear" w:color="auto" w:fill="FFFFFF"/>
        </w:rPr>
      </w:pPr>
    </w:p>
    <w:p w14:paraId="03108944" w14:textId="77777777" w:rsidR="007823E2" w:rsidRDefault="007823E2" w:rsidP="007823E2">
      <w:pPr>
        <w:pStyle w:val="NormalWeb"/>
        <w:shd w:val="clear" w:color="auto" w:fill="FFFFFF"/>
        <w:tabs>
          <w:tab w:val="left" w:pos="6855"/>
        </w:tabs>
        <w:spacing w:after="360" w:line="360" w:lineRule="auto"/>
        <w:jc w:val="both"/>
        <w:rPr>
          <w:b/>
          <w:sz w:val="28"/>
          <w:shd w:val="clear" w:color="auto" w:fill="FFFFFF"/>
        </w:rPr>
      </w:pPr>
      <w:r w:rsidRPr="00CD782B">
        <w:rPr>
          <w:b/>
          <w:sz w:val="28"/>
          <w:shd w:val="clear" w:color="auto" w:fill="FFFFFF"/>
        </w:rPr>
        <w:t>The Disadvantages of Economic Inequality</w:t>
      </w:r>
    </w:p>
    <w:p w14:paraId="2C6EABBA" w14:textId="77777777" w:rsidR="007823E2" w:rsidRPr="00CD782B" w:rsidRDefault="007823E2" w:rsidP="007823E2">
      <w:pPr>
        <w:pStyle w:val="NormalWeb"/>
        <w:shd w:val="clear" w:color="auto" w:fill="FFFFFF"/>
        <w:tabs>
          <w:tab w:val="left" w:pos="6855"/>
        </w:tabs>
        <w:spacing w:after="360" w:line="360" w:lineRule="auto"/>
        <w:jc w:val="both"/>
        <w:rPr>
          <w:b/>
          <w:sz w:val="28"/>
          <w:shd w:val="clear" w:color="auto" w:fill="FFFFFF"/>
        </w:rPr>
      </w:pPr>
    </w:p>
    <w:p w14:paraId="2CBED6FD" w14:textId="77777777" w:rsidR="007823E2" w:rsidRPr="00CD782B" w:rsidRDefault="007823E2" w:rsidP="007823E2">
      <w:pPr>
        <w:pStyle w:val="NormalWeb"/>
        <w:shd w:val="clear" w:color="auto" w:fill="FFFFFF"/>
        <w:tabs>
          <w:tab w:val="left" w:pos="6855"/>
        </w:tabs>
        <w:spacing w:after="360" w:line="360" w:lineRule="auto"/>
        <w:jc w:val="both"/>
        <w:rPr>
          <w:sz w:val="28"/>
          <w:u w:val="single"/>
          <w:shd w:val="clear" w:color="auto" w:fill="FFFFFF"/>
        </w:rPr>
      </w:pPr>
      <w:r w:rsidRPr="00CD782B">
        <w:rPr>
          <w:sz w:val="28"/>
          <w:u w:val="single"/>
          <w:shd w:val="clear" w:color="auto" w:fill="FFFFFF"/>
        </w:rPr>
        <w:t>Inequality Stifles Growth</w:t>
      </w:r>
    </w:p>
    <w:p w14:paraId="304A7F47" w14:textId="77777777" w:rsidR="007823E2" w:rsidRPr="000D7608" w:rsidRDefault="007823E2" w:rsidP="007823E2">
      <w:pPr>
        <w:pStyle w:val="NormalWeb"/>
        <w:shd w:val="clear" w:color="auto" w:fill="FFFFFF"/>
        <w:tabs>
          <w:tab w:val="left" w:pos="6855"/>
        </w:tabs>
        <w:spacing w:after="360" w:line="360" w:lineRule="auto"/>
        <w:jc w:val="both"/>
        <w:rPr>
          <w:sz w:val="28"/>
          <w:shd w:val="clear" w:color="auto" w:fill="FFFFFF"/>
        </w:rPr>
      </w:pPr>
      <w:r w:rsidRPr="00CD782B">
        <w:rPr>
          <w:sz w:val="28"/>
          <w:shd w:val="clear" w:color="auto" w:fill="FFFFFF"/>
        </w:rPr>
        <w:t>In the short term, a degree of inequality can have a positive effect on economic growth. Some economists, however, find empirical evidence of a negative correlation between long-term growth rates and sustained economic inequality of about 0.5-0.8 percentage points.</w:t>
      </w:r>
      <w:r>
        <w:rPr>
          <w:sz w:val="28"/>
          <w:shd w:val="clear" w:color="auto" w:fill="FFFFFF"/>
        </w:rPr>
        <w:t xml:space="preserve"> </w:t>
      </w:r>
      <w:r w:rsidRPr="000D7608">
        <w:rPr>
          <w:sz w:val="28"/>
          <w:shd w:val="clear" w:color="auto" w:fill="FFFFFF"/>
        </w:rPr>
        <w:t>To explain how inequality can work to stifle growth, a variety of explanations</w:t>
      </w:r>
      <w:r>
        <w:rPr>
          <w:sz w:val="28"/>
          <w:shd w:val="clear" w:color="auto" w:fill="FFFFFF"/>
        </w:rPr>
        <w:t xml:space="preserve"> has</w:t>
      </w:r>
      <w:r w:rsidRPr="000D7608">
        <w:rPr>
          <w:sz w:val="28"/>
          <w:shd w:val="clear" w:color="auto" w:fill="FFFFFF"/>
        </w:rPr>
        <w:t xml:space="preserve"> been proposed. High economic inequality means a higher poverty level. Poverty is linked to increased crime and poor public health, which places economic burdens on the economy.</w:t>
      </w:r>
    </w:p>
    <w:p w14:paraId="350198B1" w14:textId="77777777" w:rsidR="007823E2" w:rsidRPr="000D7608" w:rsidRDefault="007823E2" w:rsidP="007823E2">
      <w:pPr>
        <w:pStyle w:val="NormalWeb"/>
        <w:shd w:val="clear" w:color="auto" w:fill="FFFFFF"/>
        <w:tabs>
          <w:tab w:val="left" w:pos="6855"/>
        </w:tabs>
        <w:spacing w:after="360" w:line="360" w:lineRule="auto"/>
        <w:jc w:val="both"/>
        <w:rPr>
          <w:sz w:val="28"/>
          <w:shd w:val="clear" w:color="auto" w:fill="FFFFFF"/>
        </w:rPr>
      </w:pPr>
    </w:p>
    <w:p w14:paraId="194B863C"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0D7608">
        <w:rPr>
          <w:sz w:val="28"/>
          <w:shd w:val="clear" w:color="auto" w:fill="FFFFFF"/>
        </w:rPr>
        <w:t>Faced with rising food prices and lower incomes, government policy support for growth is declining. Wealthy citizens have disproportionate political power over poorer citizens, promoting the development of inefficient tax structures that are s</w:t>
      </w:r>
      <w:r>
        <w:rPr>
          <w:sz w:val="28"/>
          <w:shd w:val="clear" w:color="auto" w:fill="FFFFFF"/>
        </w:rPr>
        <w:t xml:space="preserve">kewed in favor of the wealthy. </w:t>
      </w:r>
      <w:r w:rsidRPr="000D7608">
        <w:rPr>
          <w:sz w:val="28"/>
          <w:shd w:val="clear" w:color="auto" w:fill="FFFFFF"/>
        </w:rPr>
        <w:t>Unequal distribution of income increases political instability that threatens property rights, increases the risk of contracts repudiated by the state, and discourages the accumulation of capital. An increasing rich-poor gap tends to raise rent-seeking and predatory market behaviors that impede economic growth.</w:t>
      </w:r>
    </w:p>
    <w:p w14:paraId="01696DAA"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B712EC">
        <w:rPr>
          <w:sz w:val="28"/>
          <w:shd w:val="clear" w:color="auto" w:fill="FFFFFF"/>
        </w:rPr>
        <w:t>According to one theory, the decreasing availability of human capital investment suppresses growth in economically unequal societies after a phase of increased growth. As fewer individuals have funds to invest in training and education, physical capital becomes increasingly scarce. As a result, it is difficult or impossible to meet human capital demands and economic growth stalls. In addition, market demands for risky unsecured loans are increasing, which increases the risk exposure of lenders to the default of the borrower. More market risks increase market volatility and the chance of cascading defaults like the subprime mortgage crisis of 2008.</w:t>
      </w:r>
    </w:p>
    <w:p w14:paraId="44A0B945"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p>
    <w:p w14:paraId="64F073D7" w14:textId="77777777" w:rsidR="007823E2" w:rsidRPr="006C198B" w:rsidRDefault="007823E2" w:rsidP="007823E2">
      <w:pPr>
        <w:pStyle w:val="NormalWeb"/>
        <w:shd w:val="clear" w:color="auto" w:fill="FFFFFF"/>
        <w:tabs>
          <w:tab w:val="left" w:pos="6855"/>
        </w:tabs>
        <w:spacing w:after="360" w:line="360" w:lineRule="auto"/>
        <w:jc w:val="both"/>
        <w:rPr>
          <w:sz w:val="32"/>
          <w:shd w:val="clear" w:color="auto" w:fill="FFFFFF"/>
        </w:rPr>
      </w:pPr>
      <w:r w:rsidRPr="001308F3">
        <w:rPr>
          <w:sz w:val="28"/>
          <w:u w:val="single"/>
          <w:shd w:val="clear" w:color="auto" w:fill="FFFFFF"/>
        </w:rPr>
        <w:t>Inequality Increases Crime</w:t>
      </w:r>
    </w:p>
    <w:p w14:paraId="7798FA5C"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1308F3">
        <w:rPr>
          <w:sz w:val="28"/>
          <w:shd w:val="clear" w:color="auto" w:fill="FFFFFF"/>
        </w:rPr>
        <w:t>Studies establish a positive relationship between inequality of income and crime. Most researchers point to evidence that economically unequal societies have higher crime rates, according to a research survey conducted between 1968 and 2000. That survey concludes that inequality is "the most closely and consistently criminal-related single factor."</w:t>
      </w:r>
    </w:p>
    <w:p w14:paraId="42C993E8"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6C198B">
        <w:rPr>
          <w:sz w:val="28"/>
          <w:shd w:val="clear" w:color="auto" w:fill="FFFFFF"/>
        </w:rPr>
        <w:t>Researchers offer several possible explanations for the correlation between inequality and crime. First, disadvantaged members of a society may be more likely to suffer resentment and hostility as a result of their economic position or competition over scarce jobs or resources, resulting in a higher penal behavioral propensity.</w:t>
      </w:r>
    </w:p>
    <w:p w14:paraId="4A3C081E"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6C198B">
        <w:rPr>
          <w:sz w:val="28"/>
          <w:shd w:val="clear" w:color="auto" w:fill="FFFFFF"/>
        </w:rPr>
        <w:t>Second, the incentive to commit crim</w:t>
      </w:r>
      <w:r>
        <w:rPr>
          <w:sz w:val="28"/>
          <w:shd w:val="clear" w:color="auto" w:fill="FFFFFF"/>
        </w:rPr>
        <w:t xml:space="preserve">es is increased by inequality. </w:t>
      </w:r>
      <w:r w:rsidRPr="006C198B">
        <w:rPr>
          <w:sz w:val="28"/>
          <w:shd w:val="clear" w:color="auto" w:fill="FFFFFF"/>
        </w:rPr>
        <w:t>For the increasing number of poor people living in an unequal society, fewer methods of lawfully obtaining resources are available.</w:t>
      </w:r>
      <w:r>
        <w:rPr>
          <w:sz w:val="28"/>
          <w:shd w:val="clear" w:color="auto" w:fill="FFFFFF"/>
        </w:rPr>
        <w:t xml:space="preserve"> </w:t>
      </w:r>
      <w:r w:rsidRPr="006C198B">
        <w:rPr>
          <w:sz w:val="28"/>
          <w:shd w:val="clear" w:color="auto" w:fill="FFFFFF"/>
        </w:rPr>
        <w:t>Even taking into account the risks of punishment, illegal methods of acquiring assets can yield better returns than legal means of obtaining resources.</w:t>
      </w:r>
    </w:p>
    <w:p w14:paraId="7C1042C2"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97461F">
        <w:rPr>
          <w:sz w:val="28"/>
          <w:shd w:val="clear" w:color="auto" w:fill="FFFFFF"/>
        </w:rPr>
        <w:t>Third, by reducing law enforcement spending in low-income areas, a wide gap between rich and poor tends to increase crime. In secluded communities, rich members of a society tend to concentrate, especially as the disparity between rich and poor increases. Rich neighborhoods or countries have more policing funds than their poorer counterparts, resulting in less effective policing or a higher number of bribe-prone officers in an i</w:t>
      </w:r>
      <w:r>
        <w:rPr>
          <w:sz w:val="28"/>
          <w:shd w:val="clear" w:color="auto" w:fill="FFFFFF"/>
        </w:rPr>
        <w:t xml:space="preserve">ncreasing number of poor areas. </w:t>
      </w:r>
      <w:r w:rsidRPr="0097461F">
        <w:rPr>
          <w:sz w:val="28"/>
          <w:shd w:val="clear" w:color="auto" w:fill="FFFFFF"/>
        </w:rPr>
        <w:t>Increasingly concentrated wealth results in higher rates of crime in poor areas prevalent in economically unbalanced societies. In societies with a sufficiently high degree of economic inequality, government investment in reducing economic inequality is far more effective in reducing crime than increasing law enforcement spending.</w:t>
      </w:r>
    </w:p>
    <w:p w14:paraId="16DE00D8"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p>
    <w:p w14:paraId="5DD31564" w14:textId="77777777" w:rsidR="007823E2" w:rsidRPr="0097461F" w:rsidRDefault="007823E2" w:rsidP="007823E2">
      <w:pPr>
        <w:pStyle w:val="NormalWeb"/>
        <w:shd w:val="clear" w:color="auto" w:fill="FFFFFF"/>
        <w:tabs>
          <w:tab w:val="left" w:pos="6855"/>
        </w:tabs>
        <w:spacing w:after="360" w:line="360" w:lineRule="auto"/>
        <w:jc w:val="both"/>
        <w:rPr>
          <w:sz w:val="32"/>
          <w:shd w:val="clear" w:color="auto" w:fill="FFFFFF"/>
        </w:rPr>
      </w:pPr>
      <w:r w:rsidRPr="0097461F">
        <w:rPr>
          <w:sz w:val="28"/>
          <w:u w:val="single"/>
          <w:shd w:val="clear" w:color="auto" w:fill="FFFFFF"/>
        </w:rPr>
        <w:t>Inequality Decreases Health</w:t>
      </w:r>
    </w:p>
    <w:p w14:paraId="05E87CA4"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97461F">
        <w:rPr>
          <w:sz w:val="28"/>
          <w:shd w:val="clear" w:color="auto" w:fill="FFFFFF"/>
        </w:rPr>
        <w:t>Society's poor members are subject to disproportionate rates of occurrence of certain types of disease. Sometimes, poor people have limited or unavailable access to quality health care and healthy food. The result of a substantially poor population, a defining feature of economic inequality, is a less efficient low-income workforce, higher rates of disease and mortality, higher costs of health care, and a gradual deepening of poverty for affected groups.</w:t>
      </w:r>
    </w:p>
    <w:p w14:paraId="430254DA" w14:textId="77777777" w:rsidR="007823E2" w:rsidRPr="0097461F" w:rsidRDefault="007823E2" w:rsidP="007823E2">
      <w:pPr>
        <w:pStyle w:val="NormalWeb"/>
        <w:shd w:val="clear" w:color="auto" w:fill="FFFFFF"/>
        <w:tabs>
          <w:tab w:val="left" w:pos="6855"/>
        </w:tabs>
        <w:spacing w:after="360" w:line="360" w:lineRule="auto"/>
        <w:jc w:val="both"/>
        <w:rPr>
          <w:sz w:val="28"/>
          <w:shd w:val="clear" w:color="auto" w:fill="FFFFFF"/>
        </w:rPr>
      </w:pPr>
      <w:r w:rsidRPr="0097461F">
        <w:rPr>
          <w:sz w:val="28"/>
          <w:shd w:val="clear" w:color="auto" w:fill="FFFFFF"/>
        </w:rPr>
        <w:t>Food deserts are a unique feature of economically unequal societies, characterized by the lack of healthy and affordable food that is readily accessible. In several heavily industrialized Western nations, including the UK, Canada, Australia, and N</w:t>
      </w:r>
      <w:r>
        <w:rPr>
          <w:sz w:val="28"/>
          <w:shd w:val="clear" w:color="auto" w:fill="FFFFFF"/>
        </w:rPr>
        <w:t>ew Zealand, food deserts occur.</w:t>
      </w:r>
    </w:p>
    <w:p w14:paraId="4B7E0EA7"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97461F">
        <w:rPr>
          <w:sz w:val="28"/>
          <w:shd w:val="clear" w:color="auto" w:fill="FFFFFF"/>
        </w:rPr>
        <w:t>In the context of a public sector housing report, the term "food desert" originated in Scotland in the early 1990s.</w:t>
      </w:r>
      <w:r>
        <w:rPr>
          <w:sz w:val="28"/>
          <w:shd w:val="clear" w:color="auto" w:fill="FFFFFF"/>
        </w:rPr>
        <w:t xml:space="preserve"> </w:t>
      </w:r>
      <w:r w:rsidRPr="0097461F">
        <w:rPr>
          <w:sz w:val="28"/>
          <w:shd w:val="clear" w:color="auto" w:fill="FFFFFF"/>
        </w:rPr>
        <w:t>While the term originated in Scotland, its prevalence in the United Kingdom has steadily increased since the 1990s, eventually becoming a common research topic affecting international public policy.</w:t>
      </w:r>
      <w:r>
        <w:rPr>
          <w:sz w:val="28"/>
          <w:shd w:val="clear" w:color="auto" w:fill="FFFFFF"/>
        </w:rPr>
        <w:t xml:space="preserve"> </w:t>
      </w:r>
      <w:r w:rsidRPr="0097461F">
        <w:rPr>
          <w:sz w:val="28"/>
          <w:shd w:val="clear" w:color="auto" w:fill="FFFFFF"/>
        </w:rPr>
        <w:t>2.2% of all U.S. households were located in food deserts in 2009. The lack of access to fresh food is associated with disproportionate obesity and diet-related disease rates among low-income households in the United States and other industrialized Western nations.</w:t>
      </w:r>
    </w:p>
    <w:p w14:paraId="3E05063E" w14:textId="77777777" w:rsidR="007823E2" w:rsidRPr="0097461F" w:rsidRDefault="007823E2" w:rsidP="007823E2">
      <w:pPr>
        <w:pStyle w:val="NormalWeb"/>
        <w:shd w:val="clear" w:color="auto" w:fill="FFFFFF"/>
        <w:tabs>
          <w:tab w:val="left" w:pos="6855"/>
        </w:tabs>
        <w:spacing w:after="360" w:line="360" w:lineRule="auto"/>
        <w:jc w:val="both"/>
        <w:rPr>
          <w:sz w:val="28"/>
          <w:shd w:val="clear" w:color="auto" w:fill="FFFFFF"/>
        </w:rPr>
      </w:pPr>
      <w:r w:rsidRPr="0097461F">
        <w:rPr>
          <w:sz w:val="28"/>
          <w:shd w:val="clear" w:color="auto" w:fill="FFFFFF"/>
        </w:rPr>
        <w:t>Food deserts are growing in interest as the rates of obesity and other diet-related diseases rise. In the late 1970s and early 1980s, obesity rates in the United States began to rise at alarming rates. Over 1 in 3 American adults are currently obese and 2 out of 3 are obese or overweight. The trend of increasing weight is accompanied by an increase in the number of new diagnoses of diabetes. The number of people suffering from high cholesterol has decreased, although the trend may be attributed to increased cholesterol-lowering drug use. In the United States, health care costs were $ 75 billion in 1970, $ 2.6 trillion in 2010, and in 2021 it is expected to reach $ 4.8 trillion. Although not attributed to diet alone, unhealthy lifestyles account for a significant portion of rising health care expenditure. Obesity increases the cost of health care in the United States by $ 147 billion annually or $ 1,429 more per person than a normal weighted person. Obesity and diet-related diseases contribute to approximately 10% of all U.S. healthcare costs. Poor diets cause conditions like diabetes, heart disease, osteoarthritis, some cancers, and other illnesses.</w:t>
      </w:r>
    </w:p>
    <w:p w14:paraId="61CD4FBD"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794841">
        <w:rPr>
          <w:sz w:val="28"/>
          <w:shd w:val="clear" w:color="auto" w:fill="FFFFFF"/>
        </w:rPr>
        <w:t>Impoverished Americans were particularly affected by the deteriorating average health quality of the nation. In the poorest neighborhoods, Americans are more likely to be obese than Americans living above the poverty line. Furthermore, people living below the level of federal poverty are twice as likely to die from diabetes.</w:t>
      </w:r>
    </w:p>
    <w:p w14:paraId="1C78EFFC" w14:textId="77777777" w:rsidR="007823E2" w:rsidRPr="00D83894" w:rsidRDefault="007823E2" w:rsidP="007823E2">
      <w:pPr>
        <w:pStyle w:val="NormalWeb"/>
        <w:shd w:val="clear" w:color="auto" w:fill="FFFFFF"/>
        <w:tabs>
          <w:tab w:val="left" w:pos="6855"/>
        </w:tabs>
        <w:spacing w:after="360" w:line="360" w:lineRule="auto"/>
        <w:jc w:val="both"/>
        <w:rPr>
          <w:sz w:val="28"/>
          <w:shd w:val="clear" w:color="auto" w:fill="FFFFFF"/>
        </w:rPr>
      </w:pPr>
      <w:r w:rsidRPr="00D83894">
        <w:rPr>
          <w:sz w:val="28"/>
          <w:shd w:val="clear" w:color="auto" w:fill="FFFFFF"/>
        </w:rPr>
        <w:t>Considerable inconvenience and time constraints for citizens living in food deserts create barriers to cheap food. The incentive to buy processed sugar and fatty items from gas stations, convenience stores, fast food restaurants, or other sources of unhealthy food is increased for residents. Residents who are elderly, disabled or have children are often less mobile, and there is an even greater incentive to rely on comfortable yet unhealthy food. As a result, food desert residents are more susceptible to obesity and other diet-related diseases.</w:t>
      </w:r>
    </w:p>
    <w:p w14:paraId="669B66B8"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D83894">
        <w:rPr>
          <w:sz w:val="28"/>
          <w:shd w:val="clear" w:color="auto" w:fill="FFFFFF"/>
        </w:rPr>
        <w:t>Beyond the direct costs of food deserts for health care, poor health affects a society's prosperity. Poor health forces communities to cope with a less efficient workforce, higher mortality rates, higher premiums for life insurance, and a less prosperous economy.</w:t>
      </w:r>
      <w:r>
        <w:rPr>
          <w:sz w:val="28"/>
          <w:shd w:val="clear" w:color="auto" w:fill="FFFFFF"/>
        </w:rPr>
        <w:t xml:space="preserve"> </w:t>
      </w:r>
      <w:r w:rsidRPr="00D83894">
        <w:rPr>
          <w:sz w:val="28"/>
          <w:shd w:val="clear" w:color="auto" w:fill="FFFFFF"/>
        </w:rPr>
        <w:t>A poorer economy can lead to fewer either taxable resources and higher overall tax rates or lower public services. Food deserts are also enhancing disparities in wealth. Low-income people live in deserts of food and</w:t>
      </w:r>
      <w:r>
        <w:rPr>
          <w:sz w:val="28"/>
          <w:shd w:val="clear" w:color="auto" w:fill="FFFFFF"/>
        </w:rPr>
        <w:t xml:space="preserve"> as a result face higher costs. </w:t>
      </w:r>
      <w:r w:rsidRPr="00D83894">
        <w:rPr>
          <w:sz w:val="28"/>
          <w:shd w:val="clear" w:color="auto" w:fill="FFFFFF"/>
        </w:rPr>
        <w:t>The poor are disproportionately burdened with higher costs of health care, a disadvantaged ability to work, and a higher percentage of time spent on food.</w:t>
      </w:r>
    </w:p>
    <w:p w14:paraId="72C08851"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p>
    <w:p w14:paraId="5F3A85B5" w14:textId="77777777" w:rsidR="007823E2" w:rsidRPr="00D83894" w:rsidRDefault="007823E2" w:rsidP="007823E2">
      <w:pPr>
        <w:pStyle w:val="NormalWeb"/>
        <w:shd w:val="clear" w:color="auto" w:fill="FFFFFF"/>
        <w:tabs>
          <w:tab w:val="left" w:pos="6855"/>
        </w:tabs>
        <w:spacing w:after="360" w:line="360" w:lineRule="auto"/>
        <w:jc w:val="both"/>
        <w:rPr>
          <w:sz w:val="32"/>
          <w:shd w:val="clear" w:color="auto" w:fill="FFFFFF"/>
        </w:rPr>
      </w:pPr>
      <w:r w:rsidRPr="00D83894">
        <w:rPr>
          <w:sz w:val="28"/>
          <w:u w:val="single"/>
          <w:shd w:val="clear" w:color="auto" w:fill="FFFFFF"/>
        </w:rPr>
        <w:t>Economic Inequality Increases Political Inequality</w:t>
      </w:r>
    </w:p>
    <w:p w14:paraId="63285B60"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0A7519">
        <w:rPr>
          <w:sz w:val="28"/>
          <w:shd w:val="clear" w:color="auto" w:fill="FFFFFF"/>
        </w:rPr>
        <w:t>When the distribution of wealth becomes concentrated in a few hands, political power tends to be skewed in favor of that small wealthy group. High-income groups are able and encouraged by both legal processes and corrupt practices to manipu</w:t>
      </w:r>
      <w:r>
        <w:rPr>
          <w:sz w:val="28"/>
          <w:shd w:val="clear" w:color="auto" w:fill="FFFFFF"/>
        </w:rPr>
        <w:t xml:space="preserve">late government in their favor. </w:t>
      </w:r>
      <w:r w:rsidRPr="000A7519">
        <w:rPr>
          <w:sz w:val="28"/>
          <w:shd w:val="clear" w:color="auto" w:fill="FFFFFF"/>
        </w:rPr>
        <w:t>At the same time, impoverished or working-class groups are less able to educate themselves or participate in the political process as economic means become increasingly scarce.</w:t>
      </w:r>
    </w:p>
    <w:p w14:paraId="1E465DED"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0A7519">
        <w:rPr>
          <w:sz w:val="28"/>
          <w:shd w:val="clear" w:color="auto" w:fill="FFFFFF"/>
        </w:rPr>
        <w:t>In various ways, wealthy groups receive political advantages. In democratic societies that lack public funding for campaigns like the U.S., political figures need private financial sup</w:t>
      </w:r>
      <w:r>
        <w:rPr>
          <w:sz w:val="28"/>
          <w:shd w:val="clear" w:color="auto" w:fill="FFFFFF"/>
        </w:rPr>
        <w:t xml:space="preserve">port to run effective campaigns. </w:t>
      </w:r>
      <w:r w:rsidRPr="000A7519">
        <w:rPr>
          <w:sz w:val="28"/>
          <w:shd w:val="clear" w:color="auto" w:fill="FFFFFF"/>
        </w:rPr>
        <w:t xml:space="preserve">Federal candidates spent about six billion dollars in total during the 2010 election cycle. Successful Senate candidates spent on their election an average of $ 10.3 million while winning Congressional candidates </w:t>
      </w:r>
      <w:r>
        <w:rPr>
          <w:sz w:val="28"/>
          <w:shd w:val="clear" w:color="auto" w:fill="FFFFFF"/>
        </w:rPr>
        <w:t xml:space="preserve">spent $ 1.6 million on average. </w:t>
      </w:r>
      <w:r w:rsidRPr="000A7519">
        <w:rPr>
          <w:sz w:val="28"/>
          <w:shd w:val="clear" w:color="auto" w:fill="FFFFFF"/>
        </w:rPr>
        <w:t>While more money spent does not always result in more votes, campaign-spending correlates so closely with votes that researchers could reliably predict a candidate will receive about one vote for every $ 5 spent.</w:t>
      </w:r>
    </w:p>
    <w:p w14:paraId="0C8DFDBB"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F16255">
        <w:rPr>
          <w:sz w:val="28"/>
          <w:shd w:val="clear" w:color="auto" w:fill="FFFFFF"/>
        </w:rPr>
        <w:t>To fund successful campaigns, political figures are required to court potential wealthy donors. Half or more of Congressperson's average time is spent talking and raising money with potential donors. According to one report, "In Congress, it is considered poor form — borderline self-indulge</w:t>
      </w:r>
      <w:r w:rsidR="00E72CE9">
        <w:rPr>
          <w:sz w:val="28"/>
          <w:shd w:val="clear" w:color="auto" w:fill="FFFFFF"/>
        </w:rPr>
        <w:t>nt — for a freshman (legislator)</w:t>
      </w:r>
      <w:r w:rsidRPr="00F16255">
        <w:rPr>
          <w:sz w:val="28"/>
          <w:shd w:val="clear" w:color="auto" w:fill="FFFFFF"/>
        </w:rPr>
        <w:t xml:space="preserve"> to sit long in congressional hearings when the time could instead be spent raising money." Extreme access to elected officials is given to wealthy donors. Politicians are likely to be reluctant to support policies that are not in their wealthy supporters ' interests for fear of losing vital financial support and subsequently the next election.</w:t>
      </w:r>
    </w:p>
    <w:p w14:paraId="3E4B9DFD"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F16255">
        <w:rPr>
          <w:sz w:val="28"/>
          <w:shd w:val="clear" w:color="auto" w:fill="FFFFFF"/>
        </w:rPr>
        <w:t>Low-income groups can have less influence on elected officials. In economically unequal societies, political interest and involvement are significantly depressed. According to one survey, people living in the most economically equal societies are four times more likely to participate actively in politics and 2.7 times more likely to vote compared to the most economically unequal society. Poorer groups are disadvantaged politically by being unable to devote time to political activity. Lower income groups tend to spend more time in the workplace or to ensure ba</w:t>
      </w:r>
      <w:r>
        <w:rPr>
          <w:sz w:val="28"/>
          <w:shd w:val="clear" w:color="auto" w:fill="FFFFFF"/>
        </w:rPr>
        <w:t xml:space="preserve">sic needs. </w:t>
      </w:r>
      <w:r w:rsidRPr="00F16255">
        <w:rPr>
          <w:sz w:val="28"/>
          <w:shd w:val="clear" w:color="auto" w:fill="FFFFFF"/>
        </w:rPr>
        <w:t xml:space="preserve">They are therefore less capable of investing time or money to acquire political knowledge </w:t>
      </w:r>
      <w:r>
        <w:rPr>
          <w:sz w:val="28"/>
          <w:shd w:val="clear" w:color="auto" w:fill="FFFFFF"/>
        </w:rPr>
        <w:t xml:space="preserve">or participate in the political </w:t>
      </w:r>
      <w:r w:rsidRPr="00F16255">
        <w:rPr>
          <w:sz w:val="28"/>
          <w:shd w:val="clear" w:color="auto" w:fill="FFFFFF"/>
        </w:rPr>
        <w:t>process.</w:t>
      </w:r>
      <w:r>
        <w:rPr>
          <w:sz w:val="28"/>
          <w:shd w:val="clear" w:color="auto" w:fill="FFFFFF"/>
        </w:rPr>
        <w:t xml:space="preserve"> </w:t>
      </w:r>
      <w:r w:rsidRPr="00F16255">
        <w:rPr>
          <w:sz w:val="28"/>
          <w:shd w:val="clear" w:color="auto" w:fill="FFFFFF"/>
        </w:rPr>
        <w:t>Furthermore, economic inequality decreases poor participation because poor people are less capable of influencing results. The apparent futility of efforts to influence policy by low-income groups discourages subsequent attempts to influence policies.</w:t>
      </w:r>
    </w:p>
    <w:p w14:paraId="2A7DF3D7" w14:textId="4C6E2D8A"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362777">
        <w:rPr>
          <w:sz w:val="28"/>
          <w:shd w:val="clear" w:color="auto" w:fill="FFFFFF"/>
        </w:rPr>
        <w:t>Wealth concentration further concentrates political power through wealthy groups ' increased ability to corrupt polit</w:t>
      </w:r>
      <w:r>
        <w:rPr>
          <w:sz w:val="28"/>
          <w:shd w:val="clear" w:color="auto" w:fill="FFFFFF"/>
        </w:rPr>
        <w:t xml:space="preserve">ical processes. </w:t>
      </w:r>
      <w:r w:rsidRPr="00362777">
        <w:rPr>
          <w:sz w:val="28"/>
          <w:shd w:val="clear" w:color="auto" w:fill="FFFFFF"/>
        </w:rPr>
        <w:t>Some officials in government may be particularly susceptible to bribes if officials are subjected to increased economic pressures in an economically unequal society. Furthermore, in a relatively unequal economic state, extremely wealthy community members are mo</w:t>
      </w:r>
      <w:r w:rsidR="000560E3">
        <w:rPr>
          <w:sz w:val="28"/>
          <w:shd w:val="clear" w:color="auto" w:fill="FFFFFF"/>
        </w:rPr>
        <w:t>re able to afford to pay bribes</w:t>
      </w:r>
    </w:p>
    <w:p w14:paraId="3D004264" w14:textId="77777777" w:rsidR="007823E2" w:rsidRDefault="007823E2" w:rsidP="007823E2">
      <w:pPr>
        <w:pStyle w:val="NormalWeb"/>
        <w:shd w:val="clear" w:color="auto" w:fill="FFFFFF"/>
        <w:tabs>
          <w:tab w:val="left" w:pos="6855"/>
        </w:tabs>
        <w:spacing w:after="360" w:line="360" w:lineRule="auto"/>
        <w:jc w:val="both"/>
        <w:rPr>
          <w:sz w:val="28"/>
          <w:u w:val="single"/>
          <w:shd w:val="clear" w:color="auto" w:fill="FFFFFF"/>
        </w:rPr>
      </w:pPr>
      <w:r w:rsidRPr="00362777">
        <w:rPr>
          <w:sz w:val="28"/>
          <w:u w:val="single"/>
          <w:shd w:val="clear" w:color="auto" w:fill="FFFFFF"/>
        </w:rPr>
        <w:t>Inequality Decreases Education</w:t>
      </w:r>
    </w:p>
    <w:p w14:paraId="4DFFD483"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386818">
        <w:rPr>
          <w:sz w:val="28"/>
          <w:shd w:val="clear" w:color="auto" w:fill="FFFFFF"/>
        </w:rPr>
        <w:t>Significant empirical research reveals the connection between education and poverty. Nations with a high degree of economic equality and a relatively small population with low incomes tend to have a much higher educational level. A one-point increase in the Gini coefficient (a measure of income inequality) results in a 10 per cent decrease in rates of graduation from high school and a 40 per cent increase in graduation from college. The average level of education across society decreases in an economically unequal society as the number of educational elites increases.</w:t>
      </w:r>
    </w:p>
    <w:p w14:paraId="6A888BCA"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386818">
        <w:rPr>
          <w:sz w:val="28"/>
          <w:shd w:val="clear" w:color="auto" w:fill="FFFFFF"/>
        </w:rPr>
        <w:t>The unequal societies tend to underinvest in education is one proposed causal link between education and inequality. Without programs for private or public scholarships, the poor are unable to afford to pay for education or spend time in school that might otherwise have been spent working. Sweatshops are an example of the effect of poverty on education</w:t>
      </w:r>
      <w:r>
        <w:rPr>
          <w:sz w:val="28"/>
          <w:shd w:val="clear" w:color="auto" w:fill="FFFFFF"/>
        </w:rPr>
        <w:t xml:space="preserve"> in countries like Bangladesh. </w:t>
      </w:r>
      <w:r w:rsidRPr="00386818">
        <w:rPr>
          <w:sz w:val="28"/>
          <w:shd w:val="clear" w:color="auto" w:fill="FFFFFF"/>
        </w:rPr>
        <w:t>Bangladesh's sweatshops employ young children who provide much-needed economic support to poor families. However, because of their economic needs, the children who work in the sweatshops are unable to attend schools or get an education. The future earning potential decline of children and the likelihood that the child will continue to live in poverty and the family will increase.</w:t>
      </w:r>
    </w:p>
    <w:p w14:paraId="1367BB4C"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8A29CD">
        <w:rPr>
          <w:sz w:val="28"/>
          <w:shd w:val="clear" w:color="auto" w:fill="FFFFFF"/>
        </w:rPr>
        <w:t>Government support in unequal societies tends to decline for programs of public education. As the rich grow wealthier, public policies are becoming increasingly favorable to the economic elite's political goals. Public education programs tend to be unpopular with the wealthy because they involve taking public funds, which often consist primarily of taxes imposed on the wealthy, and redistributing them to the poor.</w:t>
      </w:r>
    </w:p>
    <w:p w14:paraId="0D891034" w14:textId="77777777" w:rsidR="007823E2" w:rsidRDefault="007823E2" w:rsidP="007823E2">
      <w:pPr>
        <w:pStyle w:val="NormalWeb"/>
        <w:shd w:val="clear" w:color="auto" w:fill="FFFFFF"/>
        <w:tabs>
          <w:tab w:val="left" w:pos="6855"/>
        </w:tabs>
        <w:spacing w:after="360" w:line="360" w:lineRule="auto"/>
        <w:jc w:val="both"/>
        <w:rPr>
          <w:sz w:val="28"/>
          <w:shd w:val="clear" w:color="auto" w:fill="FFFFFF"/>
        </w:rPr>
      </w:pPr>
      <w:r w:rsidRPr="008A29CD">
        <w:rPr>
          <w:sz w:val="28"/>
          <w:shd w:val="clear" w:color="auto" w:fill="FFFFFF"/>
        </w:rPr>
        <w:t>Increased GDP growth's beneficial effect correlates with higher inequality rates. Fairness is maximized in economically stratified societies that avoid redistributive policies from the perspective of wealthy or liberal economic theorists. Economic inequality's disadvantages, however, are more numerous and perhaps more significant than the benefits. Societies with severe economic inequality are suffering from lower long-term GDP growth rates, higher rates of crime, poorer public health, increased political inequality, and lower average levels of education.</w:t>
      </w:r>
    </w:p>
    <w:p w14:paraId="5E3F5A34" w14:textId="77777777" w:rsidR="007823E2" w:rsidRDefault="007823E2" w:rsidP="00CA3FB5">
      <w:pPr>
        <w:autoSpaceDE w:val="0"/>
        <w:autoSpaceDN w:val="0"/>
        <w:adjustRightInd w:val="0"/>
        <w:spacing w:after="360" w:line="360" w:lineRule="auto"/>
        <w:jc w:val="both"/>
        <w:rPr>
          <w:color w:val="000000"/>
          <w:sz w:val="28"/>
          <w:szCs w:val="28"/>
          <w:lang w:val="en-US"/>
        </w:rPr>
      </w:pPr>
    </w:p>
    <w:p w14:paraId="3F746963" w14:textId="77777777" w:rsidR="00272A67" w:rsidRDefault="00272A67" w:rsidP="00CA3FB5">
      <w:pPr>
        <w:autoSpaceDE w:val="0"/>
        <w:autoSpaceDN w:val="0"/>
        <w:adjustRightInd w:val="0"/>
        <w:spacing w:after="360" w:line="360" w:lineRule="auto"/>
        <w:jc w:val="both"/>
        <w:rPr>
          <w:color w:val="000000"/>
          <w:sz w:val="28"/>
          <w:szCs w:val="28"/>
          <w:lang w:val="en-US"/>
        </w:rPr>
      </w:pPr>
    </w:p>
    <w:p w14:paraId="6FFBD567" w14:textId="77777777" w:rsidR="00272A67" w:rsidRDefault="00272A67" w:rsidP="00CA3FB5">
      <w:pPr>
        <w:autoSpaceDE w:val="0"/>
        <w:autoSpaceDN w:val="0"/>
        <w:adjustRightInd w:val="0"/>
        <w:spacing w:after="360" w:line="360" w:lineRule="auto"/>
        <w:jc w:val="both"/>
        <w:rPr>
          <w:color w:val="000000"/>
          <w:sz w:val="28"/>
          <w:szCs w:val="28"/>
          <w:lang w:val="en-US"/>
        </w:rPr>
      </w:pPr>
    </w:p>
    <w:p w14:paraId="2B36B37A" w14:textId="77777777" w:rsidR="00272A67" w:rsidRDefault="00272A67" w:rsidP="00CA3FB5">
      <w:pPr>
        <w:autoSpaceDE w:val="0"/>
        <w:autoSpaceDN w:val="0"/>
        <w:adjustRightInd w:val="0"/>
        <w:spacing w:after="360" w:line="360" w:lineRule="auto"/>
        <w:jc w:val="both"/>
        <w:rPr>
          <w:color w:val="000000"/>
          <w:sz w:val="28"/>
          <w:szCs w:val="28"/>
          <w:lang w:val="en-US"/>
        </w:rPr>
      </w:pPr>
    </w:p>
    <w:p w14:paraId="6C9007E4" w14:textId="77777777" w:rsidR="00272A67" w:rsidRDefault="00272A67" w:rsidP="00CA3FB5">
      <w:pPr>
        <w:autoSpaceDE w:val="0"/>
        <w:autoSpaceDN w:val="0"/>
        <w:adjustRightInd w:val="0"/>
        <w:spacing w:after="360" w:line="360" w:lineRule="auto"/>
        <w:jc w:val="both"/>
        <w:rPr>
          <w:color w:val="000000"/>
          <w:sz w:val="28"/>
          <w:szCs w:val="28"/>
          <w:lang w:val="en-US"/>
        </w:rPr>
      </w:pPr>
    </w:p>
    <w:p w14:paraId="6C8B94FC" w14:textId="77777777" w:rsidR="00272A67" w:rsidRDefault="00272A67" w:rsidP="00CA3FB5">
      <w:pPr>
        <w:autoSpaceDE w:val="0"/>
        <w:autoSpaceDN w:val="0"/>
        <w:adjustRightInd w:val="0"/>
        <w:spacing w:after="360" w:line="360" w:lineRule="auto"/>
        <w:jc w:val="both"/>
        <w:rPr>
          <w:color w:val="000000"/>
          <w:sz w:val="28"/>
          <w:szCs w:val="28"/>
          <w:lang w:val="en-US"/>
        </w:rPr>
      </w:pPr>
    </w:p>
    <w:p w14:paraId="41DF7BC3" w14:textId="77777777" w:rsidR="00272A67" w:rsidRDefault="00272A67" w:rsidP="00CA3FB5">
      <w:pPr>
        <w:autoSpaceDE w:val="0"/>
        <w:autoSpaceDN w:val="0"/>
        <w:adjustRightInd w:val="0"/>
        <w:spacing w:after="360" w:line="360" w:lineRule="auto"/>
        <w:jc w:val="both"/>
        <w:rPr>
          <w:color w:val="000000"/>
          <w:sz w:val="28"/>
          <w:szCs w:val="28"/>
          <w:lang w:val="en-US"/>
        </w:rPr>
      </w:pPr>
    </w:p>
    <w:p w14:paraId="359BB731" w14:textId="77777777" w:rsidR="00272A67" w:rsidRDefault="00272A67" w:rsidP="00CA3FB5">
      <w:pPr>
        <w:autoSpaceDE w:val="0"/>
        <w:autoSpaceDN w:val="0"/>
        <w:adjustRightInd w:val="0"/>
        <w:spacing w:after="360" w:line="360" w:lineRule="auto"/>
        <w:jc w:val="both"/>
        <w:rPr>
          <w:color w:val="000000"/>
          <w:sz w:val="28"/>
          <w:szCs w:val="28"/>
          <w:lang w:val="en-US"/>
        </w:rPr>
      </w:pPr>
    </w:p>
    <w:p w14:paraId="31CF93FD" w14:textId="77777777" w:rsidR="00272A67" w:rsidRDefault="00272A67" w:rsidP="00CA3FB5">
      <w:pPr>
        <w:autoSpaceDE w:val="0"/>
        <w:autoSpaceDN w:val="0"/>
        <w:adjustRightInd w:val="0"/>
        <w:spacing w:after="360" w:line="360" w:lineRule="auto"/>
        <w:jc w:val="both"/>
        <w:rPr>
          <w:color w:val="000000"/>
          <w:sz w:val="28"/>
          <w:szCs w:val="28"/>
          <w:lang w:val="en-US"/>
        </w:rPr>
      </w:pPr>
    </w:p>
    <w:p w14:paraId="036D2BCD" w14:textId="77777777" w:rsidR="00272A67" w:rsidRDefault="00272A67" w:rsidP="00CA3FB5">
      <w:pPr>
        <w:autoSpaceDE w:val="0"/>
        <w:autoSpaceDN w:val="0"/>
        <w:adjustRightInd w:val="0"/>
        <w:spacing w:after="360" w:line="360" w:lineRule="auto"/>
        <w:jc w:val="both"/>
        <w:rPr>
          <w:color w:val="000000"/>
          <w:sz w:val="28"/>
          <w:szCs w:val="28"/>
          <w:lang w:val="en-US"/>
        </w:rPr>
      </w:pPr>
    </w:p>
    <w:p w14:paraId="0E36179D" w14:textId="77777777" w:rsidR="00272A67" w:rsidRDefault="00272A67" w:rsidP="00CA3FB5">
      <w:pPr>
        <w:autoSpaceDE w:val="0"/>
        <w:autoSpaceDN w:val="0"/>
        <w:adjustRightInd w:val="0"/>
        <w:spacing w:after="360" w:line="360" w:lineRule="auto"/>
        <w:jc w:val="both"/>
        <w:rPr>
          <w:color w:val="000000"/>
          <w:sz w:val="28"/>
          <w:szCs w:val="28"/>
          <w:lang w:val="en-US"/>
        </w:rPr>
      </w:pPr>
    </w:p>
    <w:p w14:paraId="4C34A818" w14:textId="77777777" w:rsidR="00272A67" w:rsidRDefault="00272A67" w:rsidP="00CA3FB5">
      <w:pPr>
        <w:autoSpaceDE w:val="0"/>
        <w:autoSpaceDN w:val="0"/>
        <w:adjustRightInd w:val="0"/>
        <w:spacing w:after="360" w:line="360" w:lineRule="auto"/>
        <w:jc w:val="both"/>
        <w:rPr>
          <w:color w:val="000000"/>
          <w:sz w:val="28"/>
          <w:szCs w:val="28"/>
          <w:lang w:val="en-US"/>
        </w:rPr>
      </w:pPr>
    </w:p>
    <w:p w14:paraId="39D5EF35" w14:textId="77777777" w:rsidR="000560E3" w:rsidRDefault="000560E3" w:rsidP="00CA3FB5">
      <w:pPr>
        <w:autoSpaceDE w:val="0"/>
        <w:autoSpaceDN w:val="0"/>
        <w:adjustRightInd w:val="0"/>
        <w:spacing w:after="360" w:line="360" w:lineRule="auto"/>
        <w:jc w:val="both"/>
        <w:rPr>
          <w:color w:val="000000"/>
          <w:sz w:val="28"/>
          <w:szCs w:val="28"/>
          <w:lang w:val="en-US"/>
        </w:rPr>
      </w:pPr>
    </w:p>
    <w:p w14:paraId="1B217431" w14:textId="77777777" w:rsidR="00363FE0" w:rsidRPr="00C50C14" w:rsidRDefault="00363FE0" w:rsidP="00363FE0">
      <w:pPr>
        <w:pStyle w:val="Heading2"/>
        <w:rPr>
          <w:rFonts w:ascii="Times New Roman" w:hAnsi="Times New Roman" w:cs="Times New Roman"/>
        </w:rPr>
      </w:pPr>
      <w:bookmarkStart w:id="20" w:name="_Ref8031017"/>
      <w:bookmarkStart w:id="21" w:name="_Toc8434887"/>
      <w:r w:rsidRPr="00C50C14">
        <w:rPr>
          <w:rFonts w:ascii="Times New Roman" w:hAnsi="Times New Roman" w:cs="Times New Roman"/>
        </w:rPr>
        <w:t>M</w:t>
      </w:r>
      <w:r w:rsidR="009D36EA" w:rsidRPr="00C50C14">
        <w:rPr>
          <w:rFonts w:ascii="Times New Roman" w:hAnsi="Times New Roman" w:cs="Times New Roman"/>
        </w:rPr>
        <w:t>ethods of measuring</w:t>
      </w:r>
      <w:r w:rsidRPr="00C50C14">
        <w:rPr>
          <w:rFonts w:ascii="Times New Roman" w:hAnsi="Times New Roman" w:cs="Times New Roman"/>
        </w:rPr>
        <w:t xml:space="preserve"> inequality</w:t>
      </w:r>
      <w:bookmarkEnd w:id="20"/>
      <w:bookmarkEnd w:id="21"/>
    </w:p>
    <w:p w14:paraId="6D733C9C" w14:textId="77777777" w:rsidR="00BA61A2" w:rsidRPr="00BA61A2" w:rsidRDefault="00BA61A2" w:rsidP="00BA61A2">
      <w:pPr>
        <w:spacing w:line="360" w:lineRule="auto"/>
      </w:pPr>
    </w:p>
    <w:p w14:paraId="78E93171" w14:textId="77777777" w:rsidR="00363FE0" w:rsidRDefault="00363FE0" w:rsidP="005471DC">
      <w:pPr>
        <w:spacing w:line="360" w:lineRule="auto"/>
        <w:jc w:val="both"/>
      </w:pPr>
    </w:p>
    <w:p w14:paraId="251AB729" w14:textId="77777777" w:rsidR="005471DC" w:rsidRDefault="0010653F" w:rsidP="005471DC">
      <w:pPr>
        <w:spacing w:line="360" w:lineRule="auto"/>
        <w:jc w:val="both"/>
        <w:rPr>
          <w:rFonts w:eastAsia="Arial"/>
          <w:b/>
          <w:sz w:val="28"/>
          <w:szCs w:val="28"/>
          <w:lang w:val="en-US"/>
        </w:rPr>
      </w:pPr>
      <w:r w:rsidRPr="0010653F">
        <w:rPr>
          <w:rStyle w:val="word"/>
          <w:sz w:val="28"/>
          <w:szCs w:val="28"/>
          <w:shd w:val="clear" w:color="auto" w:fill="FFFFFF"/>
        </w:rPr>
        <w:t>This chapter will discuss the different ways of measuring inequality.</w:t>
      </w:r>
      <w:r>
        <w:rPr>
          <w:rStyle w:val="word"/>
          <w:sz w:val="28"/>
          <w:szCs w:val="28"/>
          <w:shd w:val="clear" w:color="auto" w:fill="FFFFFF"/>
        </w:rPr>
        <w:t xml:space="preserve"> </w:t>
      </w:r>
      <w:r w:rsidRPr="0010653F">
        <w:rPr>
          <w:rStyle w:val="word"/>
          <w:sz w:val="28"/>
          <w:szCs w:val="28"/>
          <w:shd w:val="clear" w:color="auto" w:fill="FFFFFF"/>
        </w:rPr>
        <w:t>We will look at the Lorenz Curve, the Gini Coefficient and others in particular. Governments use these measures to see which segments of society should be helping them. Imagine you've been put in charge of a one-country parliament committee responsible for dealing with economic inequality and poverty. The first task would be to establish objective criteria to ensure that comparable measurements are used. To do this, you need to understand what kinds of measuring systems are there and how they are being used. You can start fixing the problems once you understand this.</w:t>
      </w:r>
      <w:r w:rsidR="005471DC" w:rsidRPr="005471DC">
        <w:rPr>
          <w:rFonts w:eastAsia="Arial"/>
          <w:b/>
          <w:sz w:val="28"/>
          <w:szCs w:val="28"/>
          <w:lang w:val="en-US"/>
        </w:rPr>
        <w:t xml:space="preserve"> </w:t>
      </w:r>
    </w:p>
    <w:p w14:paraId="0CF16428" w14:textId="77777777" w:rsidR="005471DC" w:rsidRDefault="005471DC" w:rsidP="005471DC">
      <w:pPr>
        <w:spacing w:line="360" w:lineRule="auto"/>
        <w:rPr>
          <w:rFonts w:eastAsia="Arial"/>
          <w:b/>
          <w:sz w:val="28"/>
          <w:szCs w:val="28"/>
          <w:lang w:val="en-US"/>
        </w:rPr>
      </w:pPr>
    </w:p>
    <w:p w14:paraId="239C1837" w14:textId="77777777" w:rsidR="005471DC" w:rsidRPr="0055295E" w:rsidRDefault="005471DC" w:rsidP="005471DC">
      <w:pPr>
        <w:spacing w:line="360" w:lineRule="auto"/>
        <w:rPr>
          <w:rFonts w:eastAsia="Arial"/>
          <w:b/>
          <w:sz w:val="28"/>
          <w:szCs w:val="28"/>
          <w:lang w:val="en-US"/>
        </w:rPr>
      </w:pPr>
      <w:r w:rsidRPr="0055295E">
        <w:rPr>
          <w:rFonts w:eastAsia="Arial"/>
          <w:b/>
          <w:sz w:val="28"/>
          <w:szCs w:val="28"/>
          <w:lang w:val="en-US"/>
        </w:rPr>
        <w:t>The Lorenz Curve</w:t>
      </w:r>
    </w:p>
    <w:p w14:paraId="3659CCF9" w14:textId="77777777" w:rsidR="005471DC" w:rsidRDefault="005471DC" w:rsidP="005471DC">
      <w:pPr>
        <w:spacing w:line="360" w:lineRule="auto"/>
        <w:jc w:val="both"/>
        <w:rPr>
          <w:rFonts w:ascii="Arial" w:hAnsi="Arial"/>
        </w:rPr>
      </w:pPr>
    </w:p>
    <w:p w14:paraId="2E1941E0" w14:textId="77777777" w:rsidR="005471DC" w:rsidRDefault="005471DC" w:rsidP="005471DC">
      <w:pPr>
        <w:spacing w:line="360" w:lineRule="auto"/>
        <w:jc w:val="both"/>
        <w:rPr>
          <w:rFonts w:ascii="Arial" w:hAnsi="Arial"/>
        </w:rPr>
      </w:pPr>
      <w:r w:rsidRPr="0055295E">
        <w:rPr>
          <w:rFonts w:ascii="Arial" w:hAnsi="Arial"/>
        </w:rPr>
        <w:t xml:space="preserve">The Lorenz Curve is a graphic representation of the wealth and income distribution of a nation. The graph shows the percentage of income and wealth assumed by a nation's lowest and highest percentage. Although it is not an accurate representation of society as a whole, for that society, it is a good representation of the distribution of income. </w:t>
      </w:r>
      <w:r w:rsidRPr="00A84183">
        <w:rPr>
          <w:rFonts w:ascii="Arial" w:hAnsi="Arial"/>
        </w:rPr>
        <w:t>The Lorenz Curve is obtained by plotting the cumulative percentage of income from the nation against the cumulative percentage of households or people receivin</w:t>
      </w:r>
      <w:r>
        <w:rPr>
          <w:rFonts w:ascii="Arial" w:hAnsi="Arial"/>
        </w:rPr>
        <w:t xml:space="preserve">g this income from the nation. </w:t>
      </w:r>
      <w:r w:rsidRPr="00A84183">
        <w:rPr>
          <w:rFonts w:ascii="Arial" w:hAnsi="Arial"/>
        </w:rPr>
        <w:t>Income is generally represented on the diagram's vertical axis and households or on the ho</w:t>
      </w:r>
      <w:r>
        <w:rPr>
          <w:rFonts w:ascii="Arial" w:hAnsi="Arial"/>
        </w:rPr>
        <w:t>rizontal axis as shown in Figure 7</w:t>
      </w:r>
    </w:p>
    <w:p w14:paraId="1A010AEA" w14:textId="77777777" w:rsidR="005471DC" w:rsidRDefault="005471DC" w:rsidP="005471DC">
      <w:pP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14:paraId="76ADA3F9" w14:textId="14EA8E18" w:rsidR="00830D9B" w:rsidRPr="000560E3" w:rsidRDefault="005471DC" w:rsidP="000560E3">
      <w:pPr>
        <w:rPr>
          <w:rStyle w:val="word"/>
          <w:rFonts w:ascii="Arial" w:hAnsi="Arial"/>
        </w:rPr>
      </w:pPr>
      <w:r>
        <w:rPr>
          <w:rFonts w:ascii="Arial" w:hAnsi="Arial"/>
        </w:rPr>
        <w:tab/>
      </w:r>
      <w:r>
        <w:rPr>
          <w:rFonts w:ascii="Arial" w:hAnsi="Arial"/>
        </w:rPr>
        <w:tab/>
      </w:r>
      <w:r>
        <w:rPr>
          <w:rFonts w:ascii="Arial" w:hAnsi="Arial"/>
        </w:rPr>
        <w:tab/>
      </w:r>
      <w:r w:rsidRPr="00A84183">
        <w:rPr>
          <w:rFonts w:ascii="Georgia" w:hAnsi="Georgia"/>
          <w:bCs/>
          <w:noProof/>
          <w:color w:val="477C05"/>
          <w:sz w:val="30"/>
          <w:szCs w:val="30"/>
          <w:bdr w:val="none" w:sz="0" w:space="0" w:color="auto" w:frame="1"/>
          <w:shd w:val="clear" w:color="auto" w:fill="FFFFFF"/>
          <w:lang w:val="en-US" w:eastAsia="en-US"/>
        </w:rPr>
        <w:drawing>
          <wp:inline distT="0" distB="0" distL="0" distR="0" wp14:anchorId="7F463165" wp14:editId="15A5CE5D">
            <wp:extent cx="2724150" cy="2105025"/>
            <wp:effectExtent l="0" t="0" r="0" b="9525"/>
            <wp:docPr id="40" name="Picture 40" descr="Lorenz curve inequality">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enz curve inequality">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24150" cy="2105025"/>
                    </a:xfrm>
                    <a:prstGeom prst="rect">
                      <a:avLst/>
                    </a:prstGeom>
                    <a:noFill/>
                    <a:ln>
                      <a:noFill/>
                    </a:ln>
                  </pic:spPr>
                </pic:pic>
              </a:graphicData>
            </a:graphic>
          </wp:inline>
        </w:drawing>
      </w:r>
    </w:p>
    <w:p w14:paraId="7E786DE1" w14:textId="77777777" w:rsidR="0010653F" w:rsidRPr="0010653F" w:rsidRDefault="0010653F" w:rsidP="00BA61A2">
      <w:pPr>
        <w:spacing w:line="360" w:lineRule="auto"/>
        <w:jc w:val="both"/>
        <w:rPr>
          <w:sz w:val="28"/>
          <w:szCs w:val="28"/>
        </w:rPr>
      </w:pPr>
    </w:p>
    <w:p w14:paraId="6D1C5CA1" w14:textId="77777777" w:rsidR="00BA61A2" w:rsidRDefault="00830D9B" w:rsidP="00830D9B">
      <w:pPr>
        <w:spacing w:line="360" w:lineRule="auto"/>
        <w:jc w:val="both"/>
        <w:rPr>
          <w:sz w:val="28"/>
          <w:szCs w:val="28"/>
        </w:rPr>
      </w:pPr>
      <w:r w:rsidRPr="00830D9B">
        <w:rPr>
          <w:sz w:val="28"/>
          <w:szCs w:val="28"/>
        </w:rPr>
        <w:t>The simplest way of measuring inequality is to divide the population into fifths (quintiles) from the poorest to the richest and report the levels or proportions of income (or expenditure) at each level.</w:t>
      </w:r>
      <w:r>
        <w:rPr>
          <w:sz w:val="28"/>
          <w:szCs w:val="28"/>
        </w:rPr>
        <w:t xml:space="preserve"> </w:t>
      </w:r>
      <w:r w:rsidR="00ED3002">
        <w:rPr>
          <w:sz w:val="28"/>
          <w:szCs w:val="28"/>
        </w:rPr>
        <w:t>Table 1</w:t>
      </w:r>
      <w:r w:rsidRPr="00830D9B">
        <w:rPr>
          <w:sz w:val="28"/>
          <w:szCs w:val="28"/>
        </w:rPr>
        <w:t>.1 shows, based on data from the Vietnam Living Standards Survey, the level of expenditure per capita in ' 000 dongs per year for Vietnam in 1993. A fifth of the individuals included in the survey (not households) w</w:t>
      </w:r>
      <w:r>
        <w:rPr>
          <w:sz w:val="28"/>
          <w:szCs w:val="28"/>
        </w:rPr>
        <w:t xml:space="preserve">as </w:t>
      </w:r>
      <w:r w:rsidRPr="00830D9B">
        <w:rPr>
          <w:sz w:val="28"/>
          <w:szCs w:val="28"/>
        </w:rPr>
        <w:t>allocated to each quintile expenditure. The figures show that the poorest fifth of households made 8.4 per cent of all spending, and the top fifth made 41.4 per cent of all spending. Quintile information is easy to understand, although a summary measure is sometimes required</w:t>
      </w:r>
      <w:r w:rsidR="005471DC">
        <w:rPr>
          <w:sz w:val="28"/>
          <w:szCs w:val="28"/>
        </w:rPr>
        <w:t xml:space="preserve"> rather than a table of figures.</w:t>
      </w:r>
    </w:p>
    <w:tbl>
      <w:tblPr>
        <w:tblpPr w:leftFromText="180" w:rightFromText="180" w:vertAnchor="text" w:horzAnchor="page" w:tblpX="1430" w:tblpY="400"/>
        <w:tblW w:w="9825" w:type="dxa"/>
        <w:tblLayout w:type="fixed"/>
        <w:tblCellMar>
          <w:left w:w="0" w:type="dxa"/>
          <w:right w:w="0" w:type="dxa"/>
        </w:tblCellMar>
        <w:tblLook w:val="0000" w:firstRow="0" w:lastRow="0" w:firstColumn="0" w:lastColumn="0" w:noHBand="0" w:noVBand="0"/>
      </w:tblPr>
      <w:tblGrid>
        <w:gridCol w:w="3616"/>
        <w:gridCol w:w="1038"/>
        <w:gridCol w:w="1018"/>
        <w:gridCol w:w="1039"/>
        <w:gridCol w:w="1038"/>
        <w:gridCol w:w="1038"/>
        <w:gridCol w:w="1038"/>
      </w:tblGrid>
      <w:tr w:rsidR="00BA61A2" w14:paraId="775636FB" w14:textId="77777777" w:rsidTr="00E81765">
        <w:trPr>
          <w:trHeight w:val="518"/>
        </w:trPr>
        <w:tc>
          <w:tcPr>
            <w:tcW w:w="6711" w:type="dxa"/>
            <w:gridSpan w:val="4"/>
            <w:tcBorders>
              <w:top w:val="single" w:sz="8" w:space="0" w:color="auto"/>
              <w:left w:val="single" w:sz="8" w:space="0" w:color="auto"/>
              <w:bottom w:val="single" w:sz="8" w:space="0" w:color="auto"/>
              <w:right w:val="single" w:sz="8" w:space="0" w:color="FFCC9A"/>
            </w:tcBorders>
            <w:shd w:val="clear" w:color="auto" w:fill="FFCC9A"/>
            <w:vAlign w:val="bottom"/>
          </w:tcPr>
          <w:p w14:paraId="741A6B1F" w14:textId="5D676E2A" w:rsidR="004B1D34" w:rsidRDefault="004B1D34" w:rsidP="00E81765">
            <w:pPr>
              <w:spacing w:line="0" w:lineRule="atLeast"/>
              <w:ind w:left="120"/>
              <w:rPr>
                <w:b/>
                <w:sz w:val="18"/>
              </w:rPr>
            </w:pPr>
          </w:p>
        </w:tc>
        <w:tc>
          <w:tcPr>
            <w:tcW w:w="1038" w:type="dxa"/>
            <w:tcBorders>
              <w:top w:val="single" w:sz="8" w:space="0" w:color="auto"/>
              <w:bottom w:val="single" w:sz="8" w:space="0" w:color="auto"/>
              <w:right w:val="single" w:sz="8" w:space="0" w:color="FFCC9A"/>
            </w:tcBorders>
            <w:shd w:val="clear" w:color="auto" w:fill="FFCC9A"/>
            <w:vAlign w:val="bottom"/>
          </w:tcPr>
          <w:p w14:paraId="348C6DFD" w14:textId="77777777" w:rsidR="004B1D34" w:rsidRDefault="004B1D34" w:rsidP="00E81765">
            <w:pPr>
              <w:spacing w:line="0" w:lineRule="atLeast"/>
              <w:rPr>
                <w:sz w:val="18"/>
              </w:rPr>
            </w:pPr>
          </w:p>
        </w:tc>
        <w:tc>
          <w:tcPr>
            <w:tcW w:w="1038" w:type="dxa"/>
            <w:tcBorders>
              <w:top w:val="single" w:sz="8" w:space="0" w:color="auto"/>
              <w:bottom w:val="single" w:sz="8" w:space="0" w:color="auto"/>
              <w:right w:val="single" w:sz="8" w:space="0" w:color="FFCC9A"/>
            </w:tcBorders>
            <w:shd w:val="clear" w:color="auto" w:fill="FFCC9A"/>
            <w:vAlign w:val="bottom"/>
          </w:tcPr>
          <w:p w14:paraId="0A6441C7" w14:textId="77777777" w:rsidR="004B1D34" w:rsidRDefault="004B1D34" w:rsidP="00E81765">
            <w:pPr>
              <w:spacing w:line="0" w:lineRule="atLeast"/>
              <w:rPr>
                <w:sz w:val="18"/>
              </w:rPr>
            </w:pPr>
          </w:p>
        </w:tc>
        <w:tc>
          <w:tcPr>
            <w:tcW w:w="1038" w:type="dxa"/>
            <w:tcBorders>
              <w:top w:val="single" w:sz="8" w:space="0" w:color="auto"/>
              <w:bottom w:val="single" w:sz="8" w:space="0" w:color="auto"/>
              <w:right w:val="single" w:sz="8" w:space="0" w:color="auto"/>
            </w:tcBorders>
            <w:shd w:val="clear" w:color="auto" w:fill="FFCC9A"/>
            <w:vAlign w:val="bottom"/>
          </w:tcPr>
          <w:p w14:paraId="433C31FB" w14:textId="77777777" w:rsidR="004B1D34" w:rsidRDefault="004B1D34" w:rsidP="00E81765">
            <w:pPr>
              <w:spacing w:line="0" w:lineRule="atLeast"/>
              <w:rPr>
                <w:sz w:val="18"/>
              </w:rPr>
            </w:pPr>
          </w:p>
        </w:tc>
      </w:tr>
      <w:tr w:rsidR="00BA61A2" w14:paraId="6187F1F4" w14:textId="77777777" w:rsidTr="00E81765">
        <w:trPr>
          <w:trHeight w:val="415"/>
        </w:trPr>
        <w:tc>
          <w:tcPr>
            <w:tcW w:w="3616" w:type="dxa"/>
            <w:tcBorders>
              <w:left w:val="single" w:sz="8" w:space="0" w:color="auto"/>
              <w:bottom w:val="single" w:sz="8" w:space="0" w:color="auto"/>
              <w:right w:val="single" w:sz="8" w:space="0" w:color="auto"/>
            </w:tcBorders>
            <w:shd w:val="clear" w:color="auto" w:fill="auto"/>
            <w:vAlign w:val="bottom"/>
          </w:tcPr>
          <w:p w14:paraId="4188425B" w14:textId="77777777" w:rsidR="004B1D34" w:rsidRDefault="004B1D34" w:rsidP="00E81765">
            <w:pPr>
              <w:spacing w:line="0" w:lineRule="atLeast"/>
              <w:rPr>
                <w:sz w:val="15"/>
              </w:rPr>
            </w:pPr>
          </w:p>
        </w:tc>
        <w:tc>
          <w:tcPr>
            <w:tcW w:w="1038" w:type="dxa"/>
            <w:tcBorders>
              <w:bottom w:val="single" w:sz="8" w:space="0" w:color="auto"/>
              <w:right w:val="single" w:sz="8" w:space="0" w:color="FFFF9A"/>
            </w:tcBorders>
            <w:shd w:val="clear" w:color="auto" w:fill="FFFF9A"/>
            <w:vAlign w:val="bottom"/>
          </w:tcPr>
          <w:p w14:paraId="23666A9D" w14:textId="77777777" w:rsidR="004B1D34" w:rsidRDefault="004B1D34" w:rsidP="00E81765">
            <w:pPr>
              <w:spacing w:line="0" w:lineRule="atLeast"/>
              <w:rPr>
                <w:sz w:val="15"/>
              </w:rPr>
            </w:pPr>
          </w:p>
        </w:tc>
        <w:tc>
          <w:tcPr>
            <w:tcW w:w="3095" w:type="dxa"/>
            <w:gridSpan w:val="3"/>
            <w:tcBorders>
              <w:bottom w:val="single" w:sz="8" w:space="0" w:color="auto"/>
              <w:right w:val="single" w:sz="8" w:space="0" w:color="FFFF9A"/>
            </w:tcBorders>
            <w:shd w:val="clear" w:color="auto" w:fill="FFFF9A"/>
            <w:vAlign w:val="bottom"/>
          </w:tcPr>
          <w:p w14:paraId="2B14BC70" w14:textId="77777777" w:rsidR="004B1D34" w:rsidRDefault="004B1D34" w:rsidP="00E81765">
            <w:pPr>
              <w:spacing w:line="174" w:lineRule="exact"/>
              <w:jc w:val="center"/>
              <w:rPr>
                <w:w w:val="98"/>
                <w:sz w:val="16"/>
              </w:rPr>
            </w:pPr>
            <w:r>
              <w:rPr>
                <w:w w:val="98"/>
                <w:sz w:val="16"/>
              </w:rPr>
              <w:t>Expenditure quintiles</w:t>
            </w:r>
          </w:p>
        </w:tc>
        <w:tc>
          <w:tcPr>
            <w:tcW w:w="1038" w:type="dxa"/>
            <w:tcBorders>
              <w:bottom w:val="single" w:sz="8" w:space="0" w:color="auto"/>
              <w:right w:val="single" w:sz="8" w:space="0" w:color="auto"/>
            </w:tcBorders>
            <w:shd w:val="clear" w:color="auto" w:fill="FFFF9A"/>
            <w:vAlign w:val="bottom"/>
          </w:tcPr>
          <w:p w14:paraId="558DDF64" w14:textId="77777777" w:rsidR="004B1D34" w:rsidRDefault="004B1D34" w:rsidP="00E81765">
            <w:pPr>
              <w:spacing w:line="0" w:lineRule="atLeast"/>
              <w:rPr>
                <w:sz w:val="15"/>
              </w:rPr>
            </w:pPr>
          </w:p>
        </w:tc>
        <w:tc>
          <w:tcPr>
            <w:tcW w:w="1038" w:type="dxa"/>
            <w:tcBorders>
              <w:bottom w:val="single" w:sz="8" w:space="0" w:color="auto"/>
              <w:right w:val="single" w:sz="8" w:space="0" w:color="auto"/>
            </w:tcBorders>
            <w:shd w:val="clear" w:color="auto" w:fill="FFFF9A"/>
            <w:vAlign w:val="bottom"/>
          </w:tcPr>
          <w:p w14:paraId="3EBFDCD7" w14:textId="77777777" w:rsidR="004B1D34" w:rsidRDefault="004B1D34" w:rsidP="00E81765">
            <w:pPr>
              <w:spacing w:line="0" w:lineRule="atLeast"/>
              <w:rPr>
                <w:sz w:val="15"/>
              </w:rPr>
            </w:pPr>
          </w:p>
        </w:tc>
      </w:tr>
      <w:tr w:rsidR="004B1D34" w14:paraId="5FE809F7" w14:textId="77777777" w:rsidTr="00E81765">
        <w:trPr>
          <w:trHeight w:val="415"/>
        </w:trPr>
        <w:tc>
          <w:tcPr>
            <w:tcW w:w="3616" w:type="dxa"/>
            <w:tcBorders>
              <w:left w:val="single" w:sz="8" w:space="0" w:color="auto"/>
              <w:bottom w:val="single" w:sz="8" w:space="0" w:color="auto"/>
              <w:right w:val="single" w:sz="8" w:space="0" w:color="auto"/>
            </w:tcBorders>
            <w:shd w:val="clear" w:color="auto" w:fill="auto"/>
            <w:vAlign w:val="bottom"/>
          </w:tcPr>
          <w:p w14:paraId="375A1347" w14:textId="77777777" w:rsidR="004B1D34" w:rsidRDefault="004B1D34" w:rsidP="00E81765">
            <w:pPr>
              <w:spacing w:line="0" w:lineRule="atLeast"/>
              <w:rPr>
                <w:sz w:val="15"/>
              </w:rPr>
            </w:pPr>
          </w:p>
        </w:tc>
        <w:tc>
          <w:tcPr>
            <w:tcW w:w="1038" w:type="dxa"/>
            <w:tcBorders>
              <w:bottom w:val="single" w:sz="8" w:space="0" w:color="auto"/>
              <w:right w:val="single" w:sz="8" w:space="0" w:color="auto"/>
            </w:tcBorders>
            <w:shd w:val="clear" w:color="auto" w:fill="FFFF9A"/>
            <w:vAlign w:val="bottom"/>
          </w:tcPr>
          <w:p w14:paraId="15A26B61" w14:textId="77777777" w:rsidR="004B1D34" w:rsidRDefault="004B1D34" w:rsidP="00E81765">
            <w:pPr>
              <w:spacing w:line="174" w:lineRule="exact"/>
              <w:ind w:right="200"/>
              <w:jc w:val="right"/>
              <w:rPr>
                <w:sz w:val="16"/>
              </w:rPr>
            </w:pPr>
            <w:r>
              <w:rPr>
                <w:sz w:val="16"/>
              </w:rPr>
              <w:t>Lowest</w:t>
            </w:r>
          </w:p>
        </w:tc>
        <w:tc>
          <w:tcPr>
            <w:tcW w:w="1018" w:type="dxa"/>
            <w:tcBorders>
              <w:bottom w:val="single" w:sz="8" w:space="0" w:color="auto"/>
              <w:right w:val="single" w:sz="8" w:space="0" w:color="auto"/>
            </w:tcBorders>
            <w:shd w:val="clear" w:color="auto" w:fill="FFFF9A"/>
            <w:vAlign w:val="bottom"/>
          </w:tcPr>
          <w:p w14:paraId="12FE20E3" w14:textId="77777777" w:rsidR="004B1D34" w:rsidRDefault="004B1D34" w:rsidP="00E81765">
            <w:pPr>
              <w:spacing w:line="174" w:lineRule="exact"/>
              <w:ind w:right="120"/>
              <w:jc w:val="right"/>
              <w:rPr>
                <w:sz w:val="16"/>
              </w:rPr>
            </w:pPr>
            <w:r>
              <w:rPr>
                <w:sz w:val="16"/>
              </w:rPr>
              <w:t>Low-mid</w:t>
            </w:r>
          </w:p>
        </w:tc>
        <w:tc>
          <w:tcPr>
            <w:tcW w:w="1039" w:type="dxa"/>
            <w:tcBorders>
              <w:bottom w:val="single" w:sz="8" w:space="0" w:color="auto"/>
              <w:right w:val="single" w:sz="8" w:space="0" w:color="auto"/>
            </w:tcBorders>
            <w:shd w:val="clear" w:color="auto" w:fill="FFFF9A"/>
            <w:vAlign w:val="bottom"/>
          </w:tcPr>
          <w:p w14:paraId="3A40643B" w14:textId="77777777" w:rsidR="004B1D34" w:rsidRDefault="004B1D34" w:rsidP="00E81765">
            <w:pPr>
              <w:spacing w:line="174" w:lineRule="exact"/>
              <w:jc w:val="center"/>
              <w:rPr>
                <w:w w:val="99"/>
                <w:sz w:val="16"/>
              </w:rPr>
            </w:pPr>
            <w:r>
              <w:rPr>
                <w:w w:val="99"/>
                <w:sz w:val="16"/>
              </w:rPr>
              <w:t>Middle</w:t>
            </w:r>
          </w:p>
        </w:tc>
        <w:tc>
          <w:tcPr>
            <w:tcW w:w="1038" w:type="dxa"/>
            <w:tcBorders>
              <w:bottom w:val="single" w:sz="8" w:space="0" w:color="auto"/>
              <w:right w:val="single" w:sz="8" w:space="0" w:color="auto"/>
            </w:tcBorders>
            <w:shd w:val="clear" w:color="auto" w:fill="FFFF9A"/>
            <w:vAlign w:val="bottom"/>
          </w:tcPr>
          <w:p w14:paraId="5351F503" w14:textId="77777777" w:rsidR="004B1D34" w:rsidRDefault="004B1D34" w:rsidP="00E81765">
            <w:pPr>
              <w:spacing w:line="174" w:lineRule="exact"/>
              <w:ind w:left="140"/>
              <w:rPr>
                <w:sz w:val="16"/>
              </w:rPr>
            </w:pPr>
            <w:r>
              <w:rPr>
                <w:sz w:val="16"/>
              </w:rPr>
              <w:t>Mid-upper</w:t>
            </w:r>
          </w:p>
        </w:tc>
        <w:tc>
          <w:tcPr>
            <w:tcW w:w="1038" w:type="dxa"/>
            <w:tcBorders>
              <w:bottom w:val="single" w:sz="8" w:space="0" w:color="auto"/>
              <w:right w:val="single" w:sz="8" w:space="0" w:color="auto"/>
            </w:tcBorders>
            <w:shd w:val="clear" w:color="auto" w:fill="FFFF9A"/>
            <w:vAlign w:val="bottom"/>
          </w:tcPr>
          <w:p w14:paraId="0A315C2B" w14:textId="77777777" w:rsidR="004B1D34" w:rsidRDefault="004B1D34" w:rsidP="00E81765">
            <w:pPr>
              <w:spacing w:line="174" w:lineRule="exact"/>
              <w:ind w:right="220"/>
              <w:jc w:val="right"/>
              <w:rPr>
                <w:sz w:val="16"/>
              </w:rPr>
            </w:pPr>
            <w:r>
              <w:rPr>
                <w:sz w:val="16"/>
              </w:rPr>
              <w:t>Upper</w:t>
            </w:r>
          </w:p>
        </w:tc>
        <w:tc>
          <w:tcPr>
            <w:tcW w:w="1038" w:type="dxa"/>
            <w:tcBorders>
              <w:bottom w:val="single" w:sz="8" w:space="0" w:color="auto"/>
              <w:right w:val="single" w:sz="8" w:space="0" w:color="auto"/>
            </w:tcBorders>
            <w:shd w:val="clear" w:color="auto" w:fill="FFFF9A"/>
            <w:vAlign w:val="bottom"/>
          </w:tcPr>
          <w:p w14:paraId="22A99C90" w14:textId="77777777" w:rsidR="004B1D34" w:rsidRDefault="004B1D34" w:rsidP="00E81765">
            <w:pPr>
              <w:spacing w:line="174" w:lineRule="exact"/>
              <w:ind w:left="240"/>
              <w:rPr>
                <w:sz w:val="16"/>
              </w:rPr>
            </w:pPr>
            <w:r>
              <w:rPr>
                <w:sz w:val="16"/>
              </w:rPr>
              <w:t>Overall</w:t>
            </w:r>
          </w:p>
        </w:tc>
      </w:tr>
      <w:tr w:rsidR="00BA61A2" w14:paraId="57413A9F" w14:textId="77777777" w:rsidTr="00E81765">
        <w:trPr>
          <w:trHeight w:val="415"/>
        </w:trPr>
        <w:tc>
          <w:tcPr>
            <w:tcW w:w="3616" w:type="dxa"/>
            <w:tcBorders>
              <w:left w:val="single" w:sz="8" w:space="0" w:color="auto"/>
              <w:bottom w:val="single" w:sz="8" w:space="0" w:color="auto"/>
              <w:right w:val="single" w:sz="8" w:space="0" w:color="auto"/>
            </w:tcBorders>
            <w:shd w:val="clear" w:color="auto" w:fill="auto"/>
            <w:vAlign w:val="bottom"/>
          </w:tcPr>
          <w:p w14:paraId="63D337C6" w14:textId="77777777" w:rsidR="004B1D34" w:rsidRDefault="00E7329B" w:rsidP="00E81765">
            <w:pPr>
              <w:spacing w:line="175" w:lineRule="exact"/>
              <w:ind w:left="120"/>
              <w:rPr>
                <w:sz w:val="16"/>
              </w:rPr>
            </w:pPr>
            <w:r w:rsidRPr="00E7329B">
              <w:rPr>
                <w:rStyle w:val="word"/>
                <w:rFonts w:ascii="Arial" w:hAnsi="Arial" w:cs="Arial"/>
                <w:color w:val="000000"/>
                <w:sz w:val="14"/>
                <w:shd w:val="clear" w:color="auto" w:fill="FFFFFF"/>
              </w:rPr>
              <w:t>Expenditure per capita (' 000 dong per year)</w:t>
            </w:r>
          </w:p>
        </w:tc>
        <w:tc>
          <w:tcPr>
            <w:tcW w:w="1038" w:type="dxa"/>
            <w:tcBorders>
              <w:bottom w:val="single" w:sz="8" w:space="0" w:color="auto"/>
              <w:right w:val="single" w:sz="8" w:space="0" w:color="auto"/>
            </w:tcBorders>
            <w:shd w:val="clear" w:color="auto" w:fill="auto"/>
            <w:vAlign w:val="bottom"/>
          </w:tcPr>
          <w:p w14:paraId="390F881D" w14:textId="77777777" w:rsidR="004B1D34" w:rsidRDefault="004B1D34" w:rsidP="00E81765">
            <w:pPr>
              <w:spacing w:line="175" w:lineRule="exact"/>
              <w:ind w:right="280"/>
              <w:jc w:val="right"/>
              <w:rPr>
                <w:sz w:val="16"/>
              </w:rPr>
            </w:pPr>
            <w:r>
              <w:rPr>
                <w:sz w:val="16"/>
              </w:rPr>
              <w:t>518</w:t>
            </w:r>
          </w:p>
        </w:tc>
        <w:tc>
          <w:tcPr>
            <w:tcW w:w="1018" w:type="dxa"/>
            <w:tcBorders>
              <w:bottom w:val="single" w:sz="8" w:space="0" w:color="auto"/>
              <w:right w:val="single" w:sz="8" w:space="0" w:color="auto"/>
            </w:tcBorders>
            <w:shd w:val="clear" w:color="auto" w:fill="auto"/>
            <w:vAlign w:val="bottom"/>
          </w:tcPr>
          <w:p w14:paraId="23E58A91" w14:textId="77777777" w:rsidR="004B1D34" w:rsidRDefault="004B1D34" w:rsidP="00E81765">
            <w:pPr>
              <w:spacing w:line="175" w:lineRule="exact"/>
              <w:ind w:right="280"/>
              <w:jc w:val="right"/>
              <w:rPr>
                <w:sz w:val="16"/>
              </w:rPr>
            </w:pPr>
            <w:r>
              <w:rPr>
                <w:sz w:val="16"/>
              </w:rPr>
              <w:t>756</w:t>
            </w:r>
          </w:p>
        </w:tc>
        <w:tc>
          <w:tcPr>
            <w:tcW w:w="1039" w:type="dxa"/>
            <w:tcBorders>
              <w:bottom w:val="single" w:sz="8" w:space="0" w:color="auto"/>
              <w:right w:val="single" w:sz="8" w:space="0" w:color="auto"/>
            </w:tcBorders>
            <w:shd w:val="clear" w:color="auto" w:fill="auto"/>
            <w:vAlign w:val="bottom"/>
          </w:tcPr>
          <w:p w14:paraId="3801A1D6" w14:textId="77777777" w:rsidR="004B1D34" w:rsidRDefault="004B1D34" w:rsidP="00E81765">
            <w:pPr>
              <w:spacing w:line="175" w:lineRule="exact"/>
              <w:jc w:val="center"/>
              <w:rPr>
                <w:w w:val="99"/>
                <w:sz w:val="16"/>
              </w:rPr>
            </w:pPr>
            <w:r>
              <w:rPr>
                <w:w w:val="99"/>
                <w:sz w:val="16"/>
              </w:rPr>
              <w:t>984</w:t>
            </w:r>
          </w:p>
        </w:tc>
        <w:tc>
          <w:tcPr>
            <w:tcW w:w="1038" w:type="dxa"/>
            <w:tcBorders>
              <w:bottom w:val="single" w:sz="8" w:space="0" w:color="auto"/>
              <w:right w:val="single" w:sz="8" w:space="0" w:color="auto"/>
            </w:tcBorders>
            <w:shd w:val="clear" w:color="auto" w:fill="auto"/>
            <w:vAlign w:val="bottom"/>
          </w:tcPr>
          <w:p w14:paraId="31AA5B52" w14:textId="77777777" w:rsidR="004B1D34" w:rsidRDefault="004B1D34" w:rsidP="00E81765">
            <w:pPr>
              <w:spacing w:line="175" w:lineRule="exact"/>
              <w:ind w:left="260"/>
              <w:rPr>
                <w:sz w:val="16"/>
              </w:rPr>
            </w:pPr>
            <w:r>
              <w:rPr>
                <w:sz w:val="16"/>
              </w:rPr>
              <w:t>1,338</w:t>
            </w:r>
          </w:p>
        </w:tc>
        <w:tc>
          <w:tcPr>
            <w:tcW w:w="1038" w:type="dxa"/>
            <w:tcBorders>
              <w:bottom w:val="single" w:sz="8" w:space="0" w:color="auto"/>
              <w:right w:val="single" w:sz="8" w:space="0" w:color="auto"/>
            </w:tcBorders>
            <w:shd w:val="clear" w:color="auto" w:fill="auto"/>
            <w:vAlign w:val="bottom"/>
          </w:tcPr>
          <w:p w14:paraId="6F7E24B0" w14:textId="77777777" w:rsidR="004B1D34" w:rsidRDefault="004B1D34" w:rsidP="00E81765">
            <w:pPr>
              <w:spacing w:line="175" w:lineRule="exact"/>
              <w:ind w:right="280"/>
              <w:jc w:val="right"/>
              <w:rPr>
                <w:sz w:val="16"/>
              </w:rPr>
            </w:pPr>
            <w:r>
              <w:rPr>
                <w:sz w:val="16"/>
              </w:rPr>
              <w:t>2,540</w:t>
            </w:r>
          </w:p>
        </w:tc>
        <w:tc>
          <w:tcPr>
            <w:tcW w:w="1038" w:type="dxa"/>
            <w:tcBorders>
              <w:bottom w:val="single" w:sz="8" w:space="0" w:color="auto"/>
              <w:right w:val="single" w:sz="8" w:space="0" w:color="auto"/>
            </w:tcBorders>
            <w:shd w:val="clear" w:color="auto" w:fill="auto"/>
            <w:vAlign w:val="bottom"/>
          </w:tcPr>
          <w:p w14:paraId="55527437" w14:textId="77777777" w:rsidR="004B1D34" w:rsidRDefault="004B1D34" w:rsidP="00E81765">
            <w:pPr>
              <w:spacing w:line="175" w:lineRule="exact"/>
              <w:ind w:left="260"/>
              <w:rPr>
                <w:sz w:val="16"/>
              </w:rPr>
            </w:pPr>
            <w:r>
              <w:rPr>
                <w:sz w:val="16"/>
              </w:rPr>
              <w:t>1,227</w:t>
            </w:r>
          </w:p>
        </w:tc>
      </w:tr>
      <w:tr w:rsidR="00BA61A2" w14:paraId="552A3973" w14:textId="77777777" w:rsidTr="00E81765">
        <w:trPr>
          <w:trHeight w:val="415"/>
        </w:trPr>
        <w:tc>
          <w:tcPr>
            <w:tcW w:w="3616" w:type="dxa"/>
            <w:tcBorders>
              <w:left w:val="single" w:sz="8" w:space="0" w:color="auto"/>
              <w:bottom w:val="single" w:sz="8" w:space="0" w:color="auto"/>
              <w:right w:val="single" w:sz="8" w:space="0" w:color="auto"/>
            </w:tcBorders>
            <w:shd w:val="clear" w:color="auto" w:fill="auto"/>
            <w:vAlign w:val="bottom"/>
          </w:tcPr>
          <w:p w14:paraId="7C72BB07" w14:textId="77777777" w:rsidR="004B1D34" w:rsidRDefault="004B1D34" w:rsidP="00E81765">
            <w:pPr>
              <w:spacing w:line="175" w:lineRule="exact"/>
              <w:ind w:left="120"/>
              <w:rPr>
                <w:sz w:val="16"/>
              </w:rPr>
            </w:pPr>
            <w:r>
              <w:rPr>
                <w:sz w:val="16"/>
              </w:rPr>
              <w:t>% of expenditure</w:t>
            </w:r>
          </w:p>
        </w:tc>
        <w:tc>
          <w:tcPr>
            <w:tcW w:w="1038" w:type="dxa"/>
            <w:tcBorders>
              <w:bottom w:val="single" w:sz="8" w:space="0" w:color="auto"/>
              <w:right w:val="single" w:sz="8" w:space="0" w:color="auto"/>
            </w:tcBorders>
            <w:shd w:val="clear" w:color="auto" w:fill="auto"/>
            <w:vAlign w:val="bottom"/>
          </w:tcPr>
          <w:p w14:paraId="587DF081" w14:textId="77777777" w:rsidR="004B1D34" w:rsidRDefault="004B1D34" w:rsidP="00E81765">
            <w:pPr>
              <w:spacing w:line="175" w:lineRule="exact"/>
              <w:ind w:right="360"/>
              <w:jc w:val="right"/>
              <w:rPr>
                <w:sz w:val="16"/>
              </w:rPr>
            </w:pPr>
            <w:r>
              <w:rPr>
                <w:sz w:val="16"/>
              </w:rPr>
              <w:t>8.4</w:t>
            </w:r>
          </w:p>
        </w:tc>
        <w:tc>
          <w:tcPr>
            <w:tcW w:w="1018" w:type="dxa"/>
            <w:tcBorders>
              <w:bottom w:val="single" w:sz="8" w:space="0" w:color="auto"/>
              <w:right w:val="single" w:sz="8" w:space="0" w:color="auto"/>
            </w:tcBorders>
            <w:shd w:val="clear" w:color="auto" w:fill="auto"/>
            <w:vAlign w:val="bottom"/>
          </w:tcPr>
          <w:p w14:paraId="72807388" w14:textId="77777777" w:rsidR="004B1D34" w:rsidRDefault="004B1D34" w:rsidP="00E81765">
            <w:pPr>
              <w:spacing w:line="175" w:lineRule="exact"/>
              <w:ind w:right="340"/>
              <w:jc w:val="right"/>
              <w:rPr>
                <w:sz w:val="16"/>
              </w:rPr>
            </w:pPr>
            <w:r>
              <w:rPr>
                <w:sz w:val="16"/>
              </w:rPr>
              <w:t>12.3</w:t>
            </w:r>
          </w:p>
        </w:tc>
        <w:tc>
          <w:tcPr>
            <w:tcW w:w="1039" w:type="dxa"/>
            <w:tcBorders>
              <w:bottom w:val="single" w:sz="8" w:space="0" w:color="auto"/>
              <w:right w:val="single" w:sz="8" w:space="0" w:color="auto"/>
            </w:tcBorders>
            <w:shd w:val="clear" w:color="auto" w:fill="auto"/>
            <w:vAlign w:val="bottom"/>
          </w:tcPr>
          <w:p w14:paraId="44DD0D1C" w14:textId="77777777" w:rsidR="004B1D34" w:rsidRDefault="004B1D34" w:rsidP="00E81765">
            <w:pPr>
              <w:spacing w:line="175" w:lineRule="exact"/>
              <w:ind w:right="340"/>
              <w:jc w:val="right"/>
              <w:rPr>
                <w:sz w:val="16"/>
              </w:rPr>
            </w:pPr>
            <w:r>
              <w:rPr>
                <w:sz w:val="16"/>
              </w:rPr>
              <w:t>16.0</w:t>
            </w:r>
          </w:p>
        </w:tc>
        <w:tc>
          <w:tcPr>
            <w:tcW w:w="1038" w:type="dxa"/>
            <w:tcBorders>
              <w:bottom w:val="single" w:sz="8" w:space="0" w:color="auto"/>
              <w:right w:val="single" w:sz="8" w:space="0" w:color="auto"/>
            </w:tcBorders>
            <w:shd w:val="clear" w:color="auto" w:fill="auto"/>
            <w:vAlign w:val="bottom"/>
          </w:tcPr>
          <w:p w14:paraId="6F4CC9CE" w14:textId="77777777" w:rsidR="004B1D34" w:rsidRDefault="004B1D34" w:rsidP="00E81765">
            <w:pPr>
              <w:spacing w:line="175" w:lineRule="exact"/>
              <w:ind w:left="280"/>
              <w:rPr>
                <w:sz w:val="16"/>
              </w:rPr>
            </w:pPr>
            <w:r>
              <w:rPr>
                <w:sz w:val="16"/>
              </w:rPr>
              <w:t>21.8</w:t>
            </w:r>
          </w:p>
        </w:tc>
        <w:tc>
          <w:tcPr>
            <w:tcW w:w="1038" w:type="dxa"/>
            <w:tcBorders>
              <w:bottom w:val="single" w:sz="8" w:space="0" w:color="auto"/>
              <w:right w:val="single" w:sz="8" w:space="0" w:color="auto"/>
            </w:tcBorders>
            <w:shd w:val="clear" w:color="auto" w:fill="auto"/>
            <w:vAlign w:val="bottom"/>
          </w:tcPr>
          <w:p w14:paraId="6FE6CD7B" w14:textId="77777777" w:rsidR="004B1D34" w:rsidRDefault="004B1D34" w:rsidP="00E81765">
            <w:pPr>
              <w:spacing w:line="175" w:lineRule="exact"/>
              <w:ind w:right="340"/>
              <w:jc w:val="right"/>
              <w:rPr>
                <w:sz w:val="16"/>
              </w:rPr>
            </w:pPr>
            <w:r>
              <w:rPr>
                <w:sz w:val="16"/>
              </w:rPr>
              <w:t>41.4</w:t>
            </w:r>
          </w:p>
        </w:tc>
        <w:tc>
          <w:tcPr>
            <w:tcW w:w="1038" w:type="dxa"/>
            <w:tcBorders>
              <w:bottom w:val="single" w:sz="8" w:space="0" w:color="auto"/>
              <w:right w:val="single" w:sz="8" w:space="0" w:color="auto"/>
            </w:tcBorders>
            <w:shd w:val="clear" w:color="auto" w:fill="auto"/>
            <w:vAlign w:val="bottom"/>
          </w:tcPr>
          <w:p w14:paraId="0465EC63" w14:textId="77777777" w:rsidR="004B1D34" w:rsidRDefault="004B1D34" w:rsidP="00E81765">
            <w:pPr>
              <w:spacing w:line="175" w:lineRule="exact"/>
              <w:ind w:right="340"/>
              <w:jc w:val="right"/>
              <w:rPr>
                <w:sz w:val="16"/>
              </w:rPr>
            </w:pPr>
            <w:r>
              <w:rPr>
                <w:sz w:val="16"/>
              </w:rPr>
              <w:t>100.0</w:t>
            </w:r>
          </w:p>
        </w:tc>
      </w:tr>
      <w:tr w:rsidR="00BA61A2" w14:paraId="40A5B844" w14:textId="77777777" w:rsidTr="00E81765">
        <w:trPr>
          <w:trHeight w:val="414"/>
        </w:trPr>
        <w:tc>
          <w:tcPr>
            <w:tcW w:w="3616" w:type="dxa"/>
            <w:tcBorders>
              <w:left w:val="single" w:sz="8" w:space="0" w:color="auto"/>
              <w:bottom w:val="single" w:sz="8" w:space="0" w:color="auto"/>
              <w:right w:val="single" w:sz="8" w:space="0" w:color="auto"/>
            </w:tcBorders>
            <w:shd w:val="clear" w:color="auto" w:fill="auto"/>
            <w:vAlign w:val="bottom"/>
          </w:tcPr>
          <w:p w14:paraId="4FEAE66A" w14:textId="77777777" w:rsidR="004B1D34" w:rsidRDefault="004B1D34" w:rsidP="00E81765">
            <w:pPr>
              <w:spacing w:line="173" w:lineRule="exact"/>
              <w:ind w:left="120"/>
              <w:rPr>
                <w:sz w:val="16"/>
              </w:rPr>
            </w:pPr>
            <w:r>
              <w:rPr>
                <w:sz w:val="16"/>
              </w:rPr>
              <w:t>Memo: Cumulative % of expenditure</w:t>
            </w:r>
          </w:p>
        </w:tc>
        <w:tc>
          <w:tcPr>
            <w:tcW w:w="1038" w:type="dxa"/>
            <w:tcBorders>
              <w:bottom w:val="single" w:sz="8" w:space="0" w:color="auto"/>
              <w:right w:val="single" w:sz="8" w:space="0" w:color="auto"/>
            </w:tcBorders>
            <w:shd w:val="clear" w:color="auto" w:fill="auto"/>
            <w:vAlign w:val="bottom"/>
          </w:tcPr>
          <w:p w14:paraId="01965118" w14:textId="77777777" w:rsidR="004B1D34" w:rsidRDefault="004B1D34" w:rsidP="00E81765">
            <w:pPr>
              <w:spacing w:line="173" w:lineRule="exact"/>
              <w:ind w:right="360"/>
              <w:jc w:val="right"/>
              <w:rPr>
                <w:sz w:val="16"/>
              </w:rPr>
            </w:pPr>
            <w:r>
              <w:rPr>
                <w:sz w:val="16"/>
              </w:rPr>
              <w:t>8.4</w:t>
            </w:r>
          </w:p>
        </w:tc>
        <w:tc>
          <w:tcPr>
            <w:tcW w:w="1018" w:type="dxa"/>
            <w:tcBorders>
              <w:bottom w:val="single" w:sz="8" w:space="0" w:color="auto"/>
              <w:right w:val="single" w:sz="8" w:space="0" w:color="auto"/>
            </w:tcBorders>
            <w:shd w:val="clear" w:color="auto" w:fill="auto"/>
            <w:vAlign w:val="bottom"/>
          </w:tcPr>
          <w:p w14:paraId="7EB1BE5C" w14:textId="77777777" w:rsidR="004B1D34" w:rsidRDefault="004B1D34" w:rsidP="00E81765">
            <w:pPr>
              <w:spacing w:line="173" w:lineRule="exact"/>
              <w:ind w:right="340"/>
              <w:jc w:val="right"/>
              <w:rPr>
                <w:sz w:val="16"/>
              </w:rPr>
            </w:pPr>
            <w:r>
              <w:rPr>
                <w:sz w:val="16"/>
              </w:rPr>
              <w:t>20.7</w:t>
            </w:r>
          </w:p>
        </w:tc>
        <w:tc>
          <w:tcPr>
            <w:tcW w:w="1039" w:type="dxa"/>
            <w:tcBorders>
              <w:bottom w:val="single" w:sz="8" w:space="0" w:color="auto"/>
              <w:right w:val="single" w:sz="8" w:space="0" w:color="auto"/>
            </w:tcBorders>
            <w:shd w:val="clear" w:color="auto" w:fill="auto"/>
            <w:vAlign w:val="bottom"/>
          </w:tcPr>
          <w:p w14:paraId="03E0DBEB" w14:textId="77777777" w:rsidR="004B1D34" w:rsidRDefault="004B1D34" w:rsidP="00E81765">
            <w:pPr>
              <w:spacing w:line="173" w:lineRule="exact"/>
              <w:ind w:right="340"/>
              <w:jc w:val="right"/>
              <w:rPr>
                <w:sz w:val="16"/>
              </w:rPr>
            </w:pPr>
            <w:r>
              <w:rPr>
                <w:sz w:val="16"/>
              </w:rPr>
              <w:t>36.7</w:t>
            </w:r>
          </w:p>
        </w:tc>
        <w:tc>
          <w:tcPr>
            <w:tcW w:w="1038" w:type="dxa"/>
            <w:tcBorders>
              <w:bottom w:val="single" w:sz="8" w:space="0" w:color="auto"/>
              <w:right w:val="single" w:sz="8" w:space="0" w:color="auto"/>
            </w:tcBorders>
            <w:shd w:val="clear" w:color="auto" w:fill="auto"/>
            <w:vAlign w:val="bottom"/>
          </w:tcPr>
          <w:p w14:paraId="64617533" w14:textId="77777777" w:rsidR="004B1D34" w:rsidRDefault="004B1D34" w:rsidP="00E81765">
            <w:pPr>
              <w:spacing w:line="173" w:lineRule="exact"/>
              <w:ind w:left="280"/>
              <w:rPr>
                <w:sz w:val="16"/>
              </w:rPr>
            </w:pPr>
            <w:r>
              <w:rPr>
                <w:sz w:val="16"/>
              </w:rPr>
              <w:t>58.5</w:t>
            </w:r>
          </w:p>
        </w:tc>
        <w:tc>
          <w:tcPr>
            <w:tcW w:w="1038" w:type="dxa"/>
            <w:tcBorders>
              <w:bottom w:val="single" w:sz="8" w:space="0" w:color="auto"/>
              <w:right w:val="single" w:sz="8" w:space="0" w:color="auto"/>
            </w:tcBorders>
            <w:shd w:val="clear" w:color="auto" w:fill="auto"/>
            <w:vAlign w:val="bottom"/>
          </w:tcPr>
          <w:p w14:paraId="09DA1387" w14:textId="77777777" w:rsidR="004B1D34" w:rsidRDefault="004B1D34" w:rsidP="00E81765">
            <w:pPr>
              <w:spacing w:line="173" w:lineRule="exact"/>
              <w:ind w:right="260"/>
              <w:jc w:val="right"/>
              <w:rPr>
                <w:sz w:val="16"/>
              </w:rPr>
            </w:pPr>
            <w:r>
              <w:rPr>
                <w:sz w:val="16"/>
              </w:rPr>
              <w:t>100.0*</w:t>
            </w:r>
          </w:p>
        </w:tc>
        <w:tc>
          <w:tcPr>
            <w:tcW w:w="1038" w:type="dxa"/>
            <w:tcBorders>
              <w:bottom w:val="single" w:sz="8" w:space="0" w:color="auto"/>
              <w:right w:val="single" w:sz="8" w:space="0" w:color="auto"/>
            </w:tcBorders>
            <w:shd w:val="clear" w:color="auto" w:fill="auto"/>
            <w:vAlign w:val="bottom"/>
          </w:tcPr>
          <w:p w14:paraId="0E2BC809" w14:textId="77777777" w:rsidR="004B1D34" w:rsidRDefault="004B1D34" w:rsidP="00E81765">
            <w:pPr>
              <w:spacing w:line="0" w:lineRule="atLeast"/>
              <w:rPr>
                <w:sz w:val="15"/>
              </w:rPr>
            </w:pPr>
          </w:p>
        </w:tc>
      </w:tr>
      <w:tr w:rsidR="00BA61A2" w14:paraId="5737C90B" w14:textId="77777777" w:rsidTr="00E81765">
        <w:trPr>
          <w:trHeight w:val="415"/>
        </w:trPr>
        <w:tc>
          <w:tcPr>
            <w:tcW w:w="3616" w:type="dxa"/>
            <w:tcBorders>
              <w:left w:val="single" w:sz="8" w:space="0" w:color="auto"/>
              <w:bottom w:val="single" w:sz="8" w:space="0" w:color="auto"/>
              <w:right w:val="single" w:sz="8" w:space="0" w:color="auto"/>
            </w:tcBorders>
            <w:shd w:val="clear" w:color="auto" w:fill="auto"/>
            <w:vAlign w:val="bottom"/>
          </w:tcPr>
          <w:p w14:paraId="309AEEFB" w14:textId="77777777" w:rsidR="004B1D34" w:rsidRDefault="004B1D34" w:rsidP="00E81765">
            <w:pPr>
              <w:spacing w:line="175" w:lineRule="exact"/>
              <w:ind w:left="120"/>
              <w:rPr>
                <w:sz w:val="16"/>
              </w:rPr>
            </w:pPr>
            <w:r>
              <w:rPr>
                <w:sz w:val="16"/>
              </w:rPr>
              <w:t>Memo: Cumulative % of population</w:t>
            </w:r>
          </w:p>
        </w:tc>
        <w:tc>
          <w:tcPr>
            <w:tcW w:w="1038" w:type="dxa"/>
            <w:tcBorders>
              <w:bottom w:val="single" w:sz="8" w:space="0" w:color="auto"/>
              <w:right w:val="single" w:sz="8" w:space="0" w:color="auto"/>
            </w:tcBorders>
            <w:shd w:val="clear" w:color="auto" w:fill="auto"/>
            <w:vAlign w:val="bottom"/>
          </w:tcPr>
          <w:p w14:paraId="42CEEAB3" w14:textId="77777777" w:rsidR="004B1D34" w:rsidRDefault="004B1D34" w:rsidP="00E81765">
            <w:pPr>
              <w:spacing w:line="175" w:lineRule="exact"/>
              <w:ind w:right="360"/>
              <w:jc w:val="right"/>
              <w:rPr>
                <w:sz w:val="16"/>
              </w:rPr>
            </w:pPr>
            <w:r>
              <w:rPr>
                <w:sz w:val="16"/>
              </w:rPr>
              <w:t>20.0</w:t>
            </w:r>
          </w:p>
        </w:tc>
        <w:tc>
          <w:tcPr>
            <w:tcW w:w="1018" w:type="dxa"/>
            <w:tcBorders>
              <w:bottom w:val="single" w:sz="8" w:space="0" w:color="auto"/>
              <w:right w:val="single" w:sz="8" w:space="0" w:color="auto"/>
            </w:tcBorders>
            <w:shd w:val="clear" w:color="auto" w:fill="auto"/>
            <w:vAlign w:val="bottom"/>
          </w:tcPr>
          <w:p w14:paraId="170EB4DD" w14:textId="77777777" w:rsidR="004B1D34" w:rsidRDefault="004B1D34" w:rsidP="00E81765">
            <w:pPr>
              <w:spacing w:line="175" w:lineRule="exact"/>
              <w:ind w:right="340"/>
              <w:jc w:val="right"/>
              <w:rPr>
                <w:sz w:val="16"/>
              </w:rPr>
            </w:pPr>
            <w:r>
              <w:rPr>
                <w:sz w:val="16"/>
              </w:rPr>
              <w:t>40.0</w:t>
            </w:r>
          </w:p>
        </w:tc>
        <w:tc>
          <w:tcPr>
            <w:tcW w:w="1039" w:type="dxa"/>
            <w:tcBorders>
              <w:bottom w:val="single" w:sz="8" w:space="0" w:color="auto"/>
              <w:right w:val="single" w:sz="8" w:space="0" w:color="auto"/>
            </w:tcBorders>
            <w:shd w:val="clear" w:color="auto" w:fill="auto"/>
            <w:vAlign w:val="bottom"/>
          </w:tcPr>
          <w:p w14:paraId="2A3D41FA" w14:textId="77777777" w:rsidR="004B1D34" w:rsidRDefault="004B1D34" w:rsidP="00E81765">
            <w:pPr>
              <w:spacing w:line="175" w:lineRule="exact"/>
              <w:ind w:right="340"/>
              <w:jc w:val="right"/>
              <w:rPr>
                <w:sz w:val="16"/>
              </w:rPr>
            </w:pPr>
            <w:r>
              <w:rPr>
                <w:sz w:val="16"/>
              </w:rPr>
              <w:t>60.0</w:t>
            </w:r>
          </w:p>
        </w:tc>
        <w:tc>
          <w:tcPr>
            <w:tcW w:w="1038" w:type="dxa"/>
            <w:tcBorders>
              <w:bottom w:val="single" w:sz="8" w:space="0" w:color="auto"/>
              <w:right w:val="single" w:sz="8" w:space="0" w:color="auto"/>
            </w:tcBorders>
            <w:shd w:val="clear" w:color="auto" w:fill="auto"/>
            <w:vAlign w:val="bottom"/>
          </w:tcPr>
          <w:p w14:paraId="0B18D66F" w14:textId="77777777" w:rsidR="004B1D34" w:rsidRDefault="004B1D34" w:rsidP="00E81765">
            <w:pPr>
              <w:spacing w:line="175" w:lineRule="exact"/>
              <w:ind w:left="280"/>
              <w:rPr>
                <w:sz w:val="16"/>
              </w:rPr>
            </w:pPr>
            <w:r>
              <w:rPr>
                <w:sz w:val="16"/>
              </w:rPr>
              <w:t>80.0</w:t>
            </w:r>
          </w:p>
        </w:tc>
        <w:tc>
          <w:tcPr>
            <w:tcW w:w="1038" w:type="dxa"/>
            <w:tcBorders>
              <w:bottom w:val="single" w:sz="8" w:space="0" w:color="auto"/>
              <w:right w:val="single" w:sz="8" w:space="0" w:color="auto"/>
            </w:tcBorders>
            <w:shd w:val="clear" w:color="auto" w:fill="auto"/>
            <w:vAlign w:val="bottom"/>
          </w:tcPr>
          <w:p w14:paraId="52E72628" w14:textId="77777777" w:rsidR="004B1D34" w:rsidRDefault="004B1D34" w:rsidP="00E81765">
            <w:pPr>
              <w:spacing w:line="175" w:lineRule="exact"/>
              <w:ind w:right="340"/>
              <w:jc w:val="right"/>
              <w:rPr>
                <w:sz w:val="16"/>
              </w:rPr>
            </w:pPr>
            <w:r>
              <w:rPr>
                <w:sz w:val="16"/>
              </w:rPr>
              <w:t>100.0</w:t>
            </w:r>
          </w:p>
        </w:tc>
        <w:tc>
          <w:tcPr>
            <w:tcW w:w="1038" w:type="dxa"/>
            <w:tcBorders>
              <w:bottom w:val="single" w:sz="8" w:space="0" w:color="auto"/>
              <w:right w:val="single" w:sz="8" w:space="0" w:color="auto"/>
            </w:tcBorders>
            <w:shd w:val="clear" w:color="auto" w:fill="auto"/>
            <w:vAlign w:val="bottom"/>
          </w:tcPr>
          <w:p w14:paraId="08AFB177" w14:textId="77777777" w:rsidR="004B1D34" w:rsidRDefault="004B1D34" w:rsidP="00E81765">
            <w:pPr>
              <w:spacing w:line="0" w:lineRule="atLeast"/>
              <w:rPr>
                <w:sz w:val="15"/>
              </w:rPr>
            </w:pPr>
          </w:p>
        </w:tc>
      </w:tr>
    </w:tbl>
    <w:p w14:paraId="1C07DDDF" w14:textId="77777777" w:rsidR="00F92F7C" w:rsidRDefault="00F92F7C" w:rsidP="00363FE0">
      <w:pPr>
        <w:pStyle w:val="ListParagraph"/>
        <w:spacing w:line="360" w:lineRule="auto"/>
        <w:ind w:left="0"/>
        <w:rPr>
          <w:sz w:val="28"/>
          <w:szCs w:val="28"/>
        </w:rPr>
      </w:pPr>
    </w:p>
    <w:p w14:paraId="13F2EF95" w14:textId="5D1F2B42" w:rsidR="00E81765" w:rsidRDefault="00E81765" w:rsidP="00363FE0">
      <w:pPr>
        <w:pStyle w:val="ListParagraph"/>
        <w:spacing w:line="360" w:lineRule="auto"/>
        <w:ind w:left="0"/>
        <w:rPr>
          <w:sz w:val="28"/>
          <w:szCs w:val="28"/>
        </w:rPr>
      </w:pPr>
      <w:r>
        <w:rPr>
          <w:noProof/>
          <w:sz w:val="28"/>
          <w:szCs w:val="28"/>
          <w:lang w:val="en-US"/>
        </w:rPr>
        <w:drawing>
          <wp:inline distT="0" distB="0" distL="0" distR="0" wp14:anchorId="54E0CAE1" wp14:editId="3E8EC927">
            <wp:extent cx="6191250" cy="609600"/>
            <wp:effectExtent l="0" t="0" r="0" b="0"/>
            <wp:docPr id="7" name="Picture 7" descr="C:\Users\li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der\Desktop\Captur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0" cy="609600"/>
                    </a:xfrm>
                    <a:prstGeom prst="rect">
                      <a:avLst/>
                    </a:prstGeom>
                    <a:noFill/>
                    <a:ln>
                      <a:noFill/>
                    </a:ln>
                  </pic:spPr>
                </pic:pic>
              </a:graphicData>
            </a:graphic>
          </wp:inline>
        </w:drawing>
      </w:r>
    </w:p>
    <w:p w14:paraId="06C7AFF8" w14:textId="77777777" w:rsidR="00E81765" w:rsidRDefault="00E81765" w:rsidP="00363FE0">
      <w:pPr>
        <w:pStyle w:val="ListParagraph"/>
        <w:spacing w:line="360" w:lineRule="auto"/>
        <w:ind w:left="0"/>
        <w:rPr>
          <w:rFonts w:ascii="Times New Roman" w:eastAsia="Times New Roman" w:hAnsi="Times New Roman"/>
          <w:b/>
          <w:sz w:val="28"/>
        </w:rPr>
      </w:pPr>
    </w:p>
    <w:p w14:paraId="35B6658E" w14:textId="77777777" w:rsidR="00E81765" w:rsidRDefault="00E81765" w:rsidP="00363FE0">
      <w:pPr>
        <w:pStyle w:val="ListParagraph"/>
        <w:spacing w:line="360" w:lineRule="auto"/>
        <w:ind w:left="0"/>
        <w:rPr>
          <w:rFonts w:ascii="Times New Roman" w:eastAsia="Times New Roman" w:hAnsi="Times New Roman"/>
          <w:b/>
          <w:sz w:val="28"/>
        </w:rPr>
      </w:pPr>
    </w:p>
    <w:p w14:paraId="74D76D1B" w14:textId="77777777" w:rsidR="00363FE0" w:rsidRDefault="00363FE0" w:rsidP="00363FE0">
      <w:pPr>
        <w:pStyle w:val="ListParagraph"/>
        <w:spacing w:line="360" w:lineRule="auto"/>
        <w:ind w:left="0"/>
        <w:rPr>
          <w:rFonts w:ascii="Times New Roman" w:eastAsia="Times New Roman" w:hAnsi="Times New Roman"/>
          <w:b/>
          <w:sz w:val="28"/>
        </w:rPr>
      </w:pPr>
      <w:r w:rsidRPr="00363FE0">
        <w:rPr>
          <w:rFonts w:ascii="Times New Roman" w:eastAsia="Times New Roman" w:hAnsi="Times New Roman"/>
          <w:b/>
          <w:sz w:val="28"/>
        </w:rPr>
        <w:t>Gini coefficient of inequality</w:t>
      </w:r>
    </w:p>
    <w:p w14:paraId="07818E63" w14:textId="77777777" w:rsidR="00F92F7C" w:rsidRDefault="00F92F7C" w:rsidP="00363FE0">
      <w:pPr>
        <w:pStyle w:val="ListParagraph"/>
        <w:spacing w:line="360" w:lineRule="auto"/>
        <w:ind w:left="0"/>
        <w:rPr>
          <w:rFonts w:ascii="Times New Roman" w:eastAsia="Times New Roman" w:hAnsi="Times New Roman"/>
          <w:b/>
          <w:sz w:val="28"/>
        </w:rPr>
      </w:pPr>
    </w:p>
    <w:p w14:paraId="10401CE5" w14:textId="77777777" w:rsidR="00ED3002" w:rsidRDefault="00F92F7C" w:rsidP="00BA5E47">
      <w:pPr>
        <w:pStyle w:val="ListParagraph"/>
        <w:spacing w:line="360" w:lineRule="auto"/>
        <w:ind w:left="0" w:firstLine="720"/>
        <w:jc w:val="both"/>
        <w:rPr>
          <w:rFonts w:ascii="Times New Roman" w:hAnsi="Times New Roman"/>
          <w:sz w:val="28"/>
          <w:szCs w:val="28"/>
        </w:rPr>
      </w:pPr>
      <w:r w:rsidRPr="00F92F7C">
        <w:rPr>
          <w:rFonts w:ascii="Times New Roman" w:hAnsi="Times New Roman"/>
          <w:sz w:val="28"/>
          <w:szCs w:val="28"/>
        </w:rPr>
        <w:t>The Gini Coefficient shows the statistical dispersion among the citizens of a nation of income and wealth distribution. Most commonly, this measure is used to measure inequality. The scale varies between zero and one. A Gini coefficient of zero means that the data you are analyzing, such as income levels, have perfect equality, whereas Gini coefficient of 1 means maximum inequality.</w:t>
      </w:r>
      <w:r w:rsidR="00ED3002">
        <w:rPr>
          <w:rFonts w:ascii="Times New Roman" w:hAnsi="Times New Roman"/>
          <w:sz w:val="28"/>
          <w:szCs w:val="28"/>
        </w:rPr>
        <w:t xml:space="preserve"> </w:t>
      </w:r>
    </w:p>
    <w:p w14:paraId="06A14820" w14:textId="77777777" w:rsidR="00ED3002" w:rsidRDefault="00ED3002" w:rsidP="00ED3002">
      <w:pPr>
        <w:pStyle w:val="ListParagraph"/>
        <w:spacing w:line="360" w:lineRule="auto"/>
        <w:ind w:left="0"/>
        <w:jc w:val="both"/>
        <w:rPr>
          <w:rFonts w:ascii="Times New Roman" w:hAnsi="Times New Roman"/>
          <w:sz w:val="28"/>
          <w:szCs w:val="28"/>
        </w:rPr>
      </w:pPr>
    </w:p>
    <w:p w14:paraId="74589950" w14:textId="77777777" w:rsidR="00ED3002" w:rsidRDefault="00ED3002" w:rsidP="00BA5E47">
      <w:pPr>
        <w:pStyle w:val="ListParagraph"/>
        <w:spacing w:line="360" w:lineRule="auto"/>
        <w:ind w:left="0" w:firstLine="720"/>
        <w:jc w:val="both"/>
        <w:rPr>
          <w:rFonts w:ascii="Times New Roman" w:hAnsi="Times New Roman"/>
          <w:sz w:val="28"/>
          <w:szCs w:val="28"/>
        </w:rPr>
      </w:pPr>
      <w:r w:rsidRPr="00ED3002">
        <w:rPr>
          <w:rFonts w:ascii="Times New Roman" w:hAnsi="Times New Roman"/>
          <w:sz w:val="28"/>
          <w:szCs w:val="28"/>
        </w:rPr>
        <w:t>The Gini coefficient is the most commonly used single measure of inequality. It is based on the Lorenz curve, a cumulative frequency curve that compares a specific variable (e.g. income) distribution with a uniform equality distribution.</w:t>
      </w:r>
      <w:r>
        <w:rPr>
          <w:sz w:val="28"/>
          <w:szCs w:val="28"/>
        </w:rPr>
        <w:t xml:space="preserve"> </w:t>
      </w:r>
      <w:r w:rsidRPr="00ED3002">
        <w:rPr>
          <w:rFonts w:ascii="Times New Roman" w:hAnsi="Times New Roman"/>
          <w:sz w:val="28"/>
          <w:szCs w:val="28"/>
        </w:rPr>
        <w:t>The cumulative percentage of households (from poor to rich) on the horizontal axis and the cumulative percentage of expenditure (or income) on the vertical axis are used to construct the Gini coefficient. The c</w:t>
      </w:r>
      <w:r w:rsidR="002A0F22">
        <w:rPr>
          <w:rFonts w:ascii="Times New Roman" w:hAnsi="Times New Roman"/>
          <w:sz w:val="28"/>
          <w:szCs w:val="28"/>
        </w:rPr>
        <w:t>urve of Lorenz shown in Figure 3</w:t>
      </w:r>
      <w:r w:rsidRPr="00ED3002">
        <w:rPr>
          <w:rFonts w:ascii="Times New Roman" w:hAnsi="Times New Roman"/>
          <w:sz w:val="28"/>
          <w:szCs w:val="28"/>
        </w:rPr>
        <w:t xml:space="preserve"> is based on the data from Vietnam in Table 1</w:t>
      </w:r>
      <w:r w:rsidR="00A84183">
        <w:rPr>
          <w:rFonts w:ascii="Times New Roman" w:hAnsi="Times New Roman"/>
          <w:sz w:val="28"/>
          <w:szCs w:val="28"/>
        </w:rPr>
        <w:t xml:space="preserve"> </w:t>
      </w:r>
      <w:r w:rsidRPr="00ED3002">
        <w:rPr>
          <w:rFonts w:ascii="Times New Roman" w:hAnsi="Times New Roman"/>
          <w:sz w:val="28"/>
          <w:szCs w:val="28"/>
        </w:rPr>
        <w:t>Perfect equality represents the diagonal line. A/(A+B) is defined as the Gini coefficient, where A and B ar</w:t>
      </w:r>
      <w:r>
        <w:rPr>
          <w:sz w:val="28"/>
          <w:szCs w:val="28"/>
        </w:rPr>
        <w:t xml:space="preserve">e the areas shown on the graph. </w:t>
      </w:r>
      <w:r w:rsidRPr="00ED3002">
        <w:rPr>
          <w:rFonts w:ascii="Times New Roman" w:hAnsi="Times New Roman"/>
          <w:sz w:val="28"/>
          <w:szCs w:val="28"/>
        </w:rPr>
        <w:t>If A=0 becomes 0 which means perfect equality, whereas if B=0 becomes 1 which means complete inequality. The Gini coefficient in this example is approximately 0.35.</w:t>
      </w:r>
    </w:p>
    <w:p w14:paraId="4302961C" w14:textId="77777777" w:rsidR="00ED3002" w:rsidRDefault="00AA6955" w:rsidP="00ED3002">
      <w:pPr>
        <w:pStyle w:val="ListParagraph"/>
        <w:spacing w:line="360" w:lineRule="auto"/>
        <w:ind w:left="0"/>
        <w:jc w:val="both"/>
        <w:rPr>
          <w:rFonts w:ascii="Times New Roman" w:hAnsi="Times New Roman"/>
          <w:sz w:val="28"/>
          <w:szCs w:val="28"/>
        </w:rPr>
      </w:pPr>
      <w:r>
        <w:rPr>
          <w:rFonts w:ascii="Times New Roman" w:hAnsi="Times New Roman"/>
          <w:noProof/>
          <w:sz w:val="28"/>
          <w:szCs w:val="28"/>
          <w:lang w:val="en-US"/>
        </w:rPr>
        <mc:AlternateContent>
          <mc:Choice Requires="wps">
            <w:drawing>
              <wp:anchor distT="0" distB="0" distL="114300" distR="114300" simplePos="0" relativeHeight="251664896" behindDoc="0" locked="0" layoutInCell="1" allowOverlap="1" wp14:anchorId="70557A97" wp14:editId="1A4CF47C">
                <wp:simplePos x="0" y="0"/>
                <wp:positionH relativeFrom="column">
                  <wp:posOffset>4834255</wp:posOffset>
                </wp:positionH>
                <wp:positionV relativeFrom="paragraph">
                  <wp:posOffset>429260</wp:posOffset>
                </wp:positionV>
                <wp:extent cx="0" cy="3960000"/>
                <wp:effectExtent l="0" t="0" r="19050" b="21590"/>
                <wp:wrapNone/>
                <wp:docPr id="29" name="Straight Connector 29"/>
                <wp:cNvGraphicFramePr/>
                <a:graphic xmlns:a="http://schemas.openxmlformats.org/drawingml/2006/main">
                  <a:graphicData uri="http://schemas.microsoft.com/office/word/2010/wordprocessingShape">
                    <wps:wsp>
                      <wps:cNvCnPr/>
                      <wps:spPr>
                        <a:xfrm>
                          <a:off x="0" y="0"/>
                          <a:ext cx="0" cy="3960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55A130" id="Straight Connector 29"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80.65pt,33.8pt" to="380.65pt,3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" strokecolor="black [3040]"/>
            </w:pict>
          </mc:Fallback>
        </mc:AlternateContent>
      </w:r>
      <w:r>
        <w:rPr>
          <w:rFonts w:ascii="Times New Roman" w:hAnsi="Times New Roman"/>
          <w:noProof/>
          <w:sz w:val="28"/>
          <w:szCs w:val="28"/>
          <w:lang w:val="en-US"/>
        </w:rPr>
        <mc:AlternateContent>
          <mc:Choice Requires="wps">
            <w:drawing>
              <wp:anchor distT="0" distB="0" distL="114300" distR="114300" simplePos="0" relativeHeight="251659776" behindDoc="0" locked="0" layoutInCell="1" allowOverlap="1" wp14:anchorId="154BF5D1" wp14:editId="1E221251">
                <wp:simplePos x="0" y="0"/>
                <wp:positionH relativeFrom="column">
                  <wp:posOffset>226695</wp:posOffset>
                </wp:positionH>
                <wp:positionV relativeFrom="paragraph">
                  <wp:posOffset>4389120</wp:posOffset>
                </wp:positionV>
                <wp:extent cx="4608000" cy="0"/>
                <wp:effectExtent l="0" t="0" r="21590" b="19050"/>
                <wp:wrapNone/>
                <wp:docPr id="28" name="Straight Connector 28"/>
                <wp:cNvGraphicFramePr/>
                <a:graphic xmlns:a="http://schemas.openxmlformats.org/drawingml/2006/main">
                  <a:graphicData uri="http://schemas.microsoft.com/office/word/2010/wordprocessingShape">
                    <wps:wsp>
                      <wps:cNvCnPr/>
                      <wps:spPr>
                        <a:xfrm>
                          <a:off x="0" y="0"/>
                          <a:ext cx="46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54A32B" id="Straight Connector 2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7.85pt,345.6pt" to="380.7pt,3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" strokecolor="black [3040]"/>
            </w:pict>
          </mc:Fallback>
        </mc:AlternateContent>
      </w:r>
      <w:r>
        <w:rPr>
          <w:rFonts w:ascii="Times New Roman" w:hAnsi="Times New Roman"/>
          <w:noProof/>
          <w:sz w:val="28"/>
          <w:szCs w:val="28"/>
          <w:lang w:val="en-US"/>
        </w:rPr>
        <mc:AlternateContent>
          <mc:Choice Requires="wps">
            <w:drawing>
              <wp:anchor distT="0" distB="0" distL="114300" distR="114300" simplePos="0" relativeHeight="251654656" behindDoc="0" locked="0" layoutInCell="1" allowOverlap="1" wp14:anchorId="1C257A88" wp14:editId="64DA635C">
                <wp:simplePos x="0" y="0"/>
                <wp:positionH relativeFrom="column">
                  <wp:posOffset>226695</wp:posOffset>
                </wp:positionH>
                <wp:positionV relativeFrom="paragraph">
                  <wp:posOffset>428625</wp:posOffset>
                </wp:positionV>
                <wp:extent cx="0" cy="3960000"/>
                <wp:effectExtent l="0" t="0" r="19050" b="21590"/>
                <wp:wrapNone/>
                <wp:docPr id="27" name="Straight Connector 27"/>
                <wp:cNvGraphicFramePr/>
                <a:graphic xmlns:a="http://schemas.openxmlformats.org/drawingml/2006/main">
                  <a:graphicData uri="http://schemas.microsoft.com/office/word/2010/wordprocessingShape">
                    <wps:wsp>
                      <wps:cNvCnPr/>
                      <wps:spPr>
                        <a:xfrm>
                          <a:off x="0" y="0"/>
                          <a:ext cx="0" cy="3960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5F9E8E1" id="Straight Connector 27" o:spid="_x0000_s1026" style="position:absolute;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5pt,33.75pt" to="17.85pt,3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" strokecolor="black [3040]"/>
            </w:pict>
          </mc:Fallback>
        </mc:AlternateContent>
      </w:r>
      <w:r w:rsidR="0026244B" w:rsidRPr="0026244B">
        <w:rPr>
          <w:rFonts w:ascii="Times New Roman" w:hAnsi="Times New Roman"/>
          <w:noProof/>
          <w:sz w:val="28"/>
          <w:szCs w:val="28"/>
          <w:lang w:val="en-US"/>
        </w:rPr>
        <mc:AlternateContent>
          <mc:Choice Requires="wps">
            <w:drawing>
              <wp:anchor distT="0" distB="0" distL="114300" distR="114300" simplePos="0" relativeHeight="251649536" behindDoc="0" locked="0" layoutInCell="1" allowOverlap="1" wp14:anchorId="2922A3DA" wp14:editId="30F4BD76">
                <wp:simplePos x="0" y="0"/>
                <wp:positionH relativeFrom="column">
                  <wp:posOffset>226695</wp:posOffset>
                </wp:positionH>
                <wp:positionV relativeFrom="paragraph">
                  <wp:posOffset>429260</wp:posOffset>
                </wp:positionV>
                <wp:extent cx="4608000" cy="0"/>
                <wp:effectExtent l="0" t="0" r="21590" b="19050"/>
                <wp:wrapNone/>
                <wp:docPr id="26" name="Straight Connector 26"/>
                <wp:cNvGraphicFramePr/>
                <a:graphic xmlns:a="http://schemas.openxmlformats.org/drawingml/2006/main">
                  <a:graphicData uri="http://schemas.microsoft.com/office/word/2010/wordprocessingShape">
                    <wps:wsp>
                      <wps:cNvCnPr/>
                      <wps:spPr>
                        <a:xfrm>
                          <a:off x="0" y="0"/>
                          <a:ext cx="46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70FCB" id="Straight Connector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33.8pt" to="380.7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" strokecolor="black [3040]"/>
            </w:pict>
          </mc:Fallback>
        </mc:AlternateContent>
      </w:r>
    </w:p>
    <w:p w14:paraId="554597DF" w14:textId="77777777" w:rsidR="00137E41" w:rsidRDefault="00137E41" w:rsidP="00137E41">
      <w:pPr>
        <w:spacing w:line="0" w:lineRule="atLeast"/>
        <w:rPr>
          <w:rFonts w:ascii="Arial" w:eastAsia="Arial" w:hAnsi="Arial"/>
          <w:b/>
        </w:rPr>
      </w:pPr>
    </w:p>
    <w:p w14:paraId="69E02ED6" w14:textId="77777777" w:rsidR="00137E41" w:rsidRDefault="00137E41" w:rsidP="00137E41">
      <w:pPr>
        <w:spacing w:line="0" w:lineRule="atLeast"/>
        <w:ind w:left="2340"/>
        <w:rPr>
          <w:rFonts w:ascii="Arial" w:eastAsia="Arial" w:hAnsi="Arial"/>
          <w:b/>
        </w:rPr>
      </w:pPr>
      <w:r>
        <w:rPr>
          <w:noProof/>
          <w:lang w:val="en-US" w:eastAsia="en-US"/>
        </w:rPr>
        <w:drawing>
          <wp:anchor distT="0" distB="0" distL="114300" distR="114300" simplePos="0" relativeHeight="251670016" behindDoc="1" locked="0" layoutInCell="1" allowOverlap="1" wp14:anchorId="3815147C" wp14:editId="1BBFB0DE">
            <wp:simplePos x="0" y="0"/>
            <wp:positionH relativeFrom="column">
              <wp:posOffset>577850</wp:posOffset>
            </wp:positionH>
            <wp:positionV relativeFrom="paragraph">
              <wp:posOffset>468630</wp:posOffset>
            </wp:positionV>
            <wp:extent cx="4029710" cy="2833370"/>
            <wp:effectExtent l="0" t="0" r="889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29710" cy="28333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rPr>
        <w:t xml:space="preserve">                Lorenz Curve</w:t>
      </w:r>
    </w:p>
    <w:p w14:paraId="5871A600" w14:textId="77777777" w:rsidR="00696C4A" w:rsidRDefault="00696C4A" w:rsidP="006D50B3">
      <w:pPr>
        <w:ind w:firstLine="720"/>
        <w:rPr>
          <w:rFonts w:ascii="Arial" w:eastAsia="Arial" w:hAnsi="Arial"/>
        </w:rPr>
      </w:pPr>
    </w:p>
    <w:p w14:paraId="1AFA3B2C" w14:textId="77777777" w:rsidR="006D50B3" w:rsidRPr="006D50B3" w:rsidRDefault="006D50B3" w:rsidP="00696C4A">
      <w:pPr>
        <w:ind w:firstLine="720"/>
        <w:rPr>
          <w:rFonts w:ascii="Arial" w:eastAsia="Arial" w:hAnsi="Arial"/>
          <w:sz w:val="18"/>
          <w:szCs w:val="18"/>
        </w:rPr>
      </w:pPr>
      <w:r w:rsidRPr="006D50B3">
        <w:rPr>
          <w:rFonts w:ascii="Arial" w:eastAsia="Arial" w:hAnsi="Arial"/>
          <w:sz w:val="18"/>
          <w:szCs w:val="18"/>
        </w:rPr>
        <w:t>100</w:t>
      </w:r>
    </w:p>
    <w:p w14:paraId="0CBCD36A" w14:textId="77777777" w:rsidR="00137E41" w:rsidRPr="00137E41" w:rsidRDefault="00137E41" w:rsidP="00696C4A">
      <w:pPr>
        <w:rPr>
          <w:rFonts w:ascii="Arial" w:eastAsia="Arial" w:hAnsi="Arial"/>
        </w:rPr>
      </w:pPr>
    </w:p>
    <w:p w14:paraId="43074779" w14:textId="77777777" w:rsidR="00137E41" w:rsidRPr="006D50B3" w:rsidRDefault="006D50B3" w:rsidP="00696C4A">
      <w:pPr>
        <w:ind w:firstLine="720"/>
        <w:rPr>
          <w:rFonts w:ascii="Arial" w:eastAsia="Arial" w:hAnsi="Arial"/>
          <w:sz w:val="18"/>
        </w:rPr>
      </w:pPr>
      <w:r w:rsidRPr="006D50B3">
        <w:rPr>
          <w:rFonts w:ascii="Arial" w:eastAsia="Arial" w:hAnsi="Arial"/>
          <w:sz w:val="18"/>
        </w:rPr>
        <w:t>90</w:t>
      </w:r>
    </w:p>
    <w:p w14:paraId="094DCF1E" w14:textId="77777777" w:rsidR="006D50B3" w:rsidRDefault="006D50B3" w:rsidP="00696C4A">
      <w:pPr>
        <w:ind w:firstLine="720"/>
        <w:rPr>
          <w:rFonts w:ascii="Arial" w:eastAsia="Arial" w:hAnsi="Arial"/>
          <w:sz w:val="16"/>
          <w:szCs w:val="16"/>
        </w:rPr>
      </w:pPr>
    </w:p>
    <w:p w14:paraId="090F636E" w14:textId="77777777" w:rsidR="006D50B3" w:rsidRDefault="006D50B3" w:rsidP="00696C4A">
      <w:pPr>
        <w:ind w:firstLine="720"/>
        <w:rPr>
          <w:rFonts w:ascii="Arial" w:eastAsia="Arial" w:hAnsi="Arial"/>
          <w:sz w:val="16"/>
          <w:szCs w:val="16"/>
        </w:rPr>
      </w:pPr>
    </w:p>
    <w:p w14:paraId="2E6628E9" w14:textId="77777777" w:rsidR="00137E41" w:rsidRPr="006D50B3" w:rsidRDefault="006D50B3" w:rsidP="00696C4A">
      <w:pPr>
        <w:ind w:firstLine="720"/>
        <w:rPr>
          <w:rFonts w:ascii="Arial" w:eastAsia="Arial" w:hAnsi="Arial"/>
          <w:sz w:val="18"/>
          <w:szCs w:val="18"/>
        </w:rPr>
      </w:pPr>
      <w:r w:rsidRPr="006D50B3">
        <w:rPr>
          <w:rFonts w:ascii="Arial" w:eastAsia="Arial" w:hAnsi="Arial"/>
          <w:sz w:val="18"/>
          <w:szCs w:val="18"/>
        </w:rPr>
        <w:t>80</w:t>
      </w:r>
    </w:p>
    <w:p w14:paraId="203C4418" w14:textId="77777777" w:rsidR="006D50B3" w:rsidRPr="006D50B3" w:rsidRDefault="006D50B3" w:rsidP="00696C4A">
      <w:pPr>
        <w:ind w:firstLine="720"/>
        <w:rPr>
          <w:rFonts w:ascii="Arial" w:eastAsia="Arial" w:hAnsi="Arial"/>
          <w:sz w:val="18"/>
          <w:szCs w:val="18"/>
        </w:rPr>
      </w:pPr>
    </w:p>
    <w:p w14:paraId="430D1134" w14:textId="77777777" w:rsidR="00137E41" w:rsidRPr="006D50B3" w:rsidRDefault="006D50B3" w:rsidP="00696C4A">
      <w:pPr>
        <w:ind w:firstLine="720"/>
        <w:rPr>
          <w:rFonts w:ascii="Arial" w:eastAsia="Arial" w:hAnsi="Arial"/>
          <w:sz w:val="18"/>
          <w:szCs w:val="18"/>
        </w:rPr>
      </w:pPr>
      <w:r w:rsidRPr="006D50B3">
        <w:rPr>
          <w:rFonts w:ascii="Arial" w:eastAsia="Arial" w:hAnsi="Arial"/>
          <w:sz w:val="18"/>
          <w:szCs w:val="18"/>
        </w:rPr>
        <w:t>70</w:t>
      </w:r>
    </w:p>
    <w:p w14:paraId="6759D27A" w14:textId="77777777" w:rsidR="006D50B3" w:rsidRPr="006D50B3" w:rsidRDefault="006D50B3" w:rsidP="00696C4A">
      <w:pPr>
        <w:ind w:firstLine="720"/>
        <w:rPr>
          <w:rFonts w:ascii="Arial" w:eastAsia="Arial" w:hAnsi="Arial"/>
          <w:sz w:val="18"/>
          <w:szCs w:val="18"/>
        </w:rPr>
      </w:pPr>
    </w:p>
    <w:p w14:paraId="7BEC834F" w14:textId="77777777" w:rsidR="00137E41" w:rsidRDefault="006D50B3" w:rsidP="00696C4A">
      <w:pPr>
        <w:ind w:firstLine="720"/>
        <w:rPr>
          <w:rFonts w:ascii="Arial" w:eastAsia="Arial" w:hAnsi="Arial"/>
          <w:sz w:val="18"/>
          <w:szCs w:val="18"/>
        </w:rPr>
      </w:pPr>
      <w:r w:rsidRPr="006D50B3">
        <w:rPr>
          <w:rFonts w:ascii="Arial" w:eastAsia="Arial" w:hAnsi="Arial"/>
          <w:sz w:val="18"/>
          <w:szCs w:val="18"/>
        </w:rPr>
        <w:t>60</w:t>
      </w:r>
    </w:p>
    <w:p w14:paraId="3B766A9B" w14:textId="77777777" w:rsidR="006D50B3" w:rsidRPr="006D50B3" w:rsidRDefault="006D50B3" w:rsidP="00696C4A">
      <w:pPr>
        <w:ind w:firstLine="720"/>
        <w:rPr>
          <w:rFonts w:ascii="Arial" w:eastAsia="Arial" w:hAnsi="Arial"/>
          <w:sz w:val="18"/>
          <w:szCs w:val="18"/>
        </w:rPr>
      </w:pPr>
    </w:p>
    <w:p w14:paraId="48E48E5B" w14:textId="77777777" w:rsidR="006D50B3" w:rsidRDefault="006D50B3" w:rsidP="00696C4A">
      <w:pPr>
        <w:ind w:firstLine="720"/>
        <w:rPr>
          <w:rFonts w:ascii="Arial" w:eastAsia="Arial" w:hAnsi="Arial"/>
          <w:sz w:val="18"/>
          <w:szCs w:val="18"/>
        </w:rPr>
      </w:pPr>
      <w:r w:rsidRPr="006D50B3">
        <w:rPr>
          <w:rFonts w:ascii="Arial" w:eastAsia="Arial" w:hAnsi="Arial"/>
          <w:sz w:val="18"/>
          <w:szCs w:val="18"/>
        </w:rPr>
        <w:t>50</w:t>
      </w:r>
      <w:r>
        <w:rPr>
          <w:rFonts w:ascii="Arial" w:eastAsia="Arial" w:hAnsi="Arial"/>
          <w:sz w:val="18"/>
          <w:szCs w:val="18"/>
        </w:rPr>
        <w:t xml:space="preserve">                                                </w:t>
      </w:r>
      <w:r>
        <w:rPr>
          <w:rFonts w:ascii="Arial" w:eastAsia="Arial" w:hAnsi="Arial"/>
          <w:sz w:val="18"/>
          <w:szCs w:val="18"/>
        </w:rPr>
        <w:tab/>
        <w:t xml:space="preserve"> </w:t>
      </w:r>
      <w:r w:rsidRPr="006D50B3">
        <w:rPr>
          <w:rFonts w:ascii="Arial" w:eastAsia="Arial" w:hAnsi="Arial"/>
          <w:sz w:val="28"/>
          <w:szCs w:val="18"/>
        </w:rPr>
        <w:t>A</w:t>
      </w:r>
    </w:p>
    <w:p w14:paraId="03360EEE" w14:textId="77777777" w:rsidR="006D50B3" w:rsidRPr="006D50B3" w:rsidRDefault="006D50B3" w:rsidP="00696C4A">
      <w:pPr>
        <w:ind w:firstLine="720"/>
        <w:rPr>
          <w:rFonts w:ascii="Arial" w:eastAsia="Arial" w:hAnsi="Arial"/>
          <w:sz w:val="18"/>
          <w:szCs w:val="18"/>
        </w:rPr>
      </w:pPr>
    </w:p>
    <w:p w14:paraId="4BE77A15" w14:textId="77777777" w:rsidR="00137E41" w:rsidRDefault="006D50B3" w:rsidP="00696C4A">
      <w:pPr>
        <w:ind w:firstLine="720"/>
        <w:rPr>
          <w:rFonts w:ascii="Arial" w:eastAsia="Arial" w:hAnsi="Arial"/>
          <w:sz w:val="18"/>
          <w:szCs w:val="18"/>
        </w:rPr>
      </w:pPr>
      <w:r w:rsidRPr="006D50B3">
        <w:rPr>
          <w:rFonts w:ascii="Arial" w:eastAsia="Arial" w:hAnsi="Arial"/>
          <w:sz w:val="18"/>
          <w:szCs w:val="18"/>
        </w:rPr>
        <w:t>40</w:t>
      </w:r>
    </w:p>
    <w:p w14:paraId="0A434543" w14:textId="77777777" w:rsidR="006D50B3" w:rsidRPr="006D50B3" w:rsidRDefault="006D50B3" w:rsidP="00696C4A">
      <w:pPr>
        <w:ind w:firstLine="720"/>
        <w:rPr>
          <w:rFonts w:ascii="Arial" w:eastAsia="Arial" w:hAnsi="Arial"/>
          <w:sz w:val="18"/>
          <w:szCs w:val="18"/>
        </w:rPr>
      </w:pPr>
    </w:p>
    <w:p w14:paraId="51C4C659" w14:textId="77777777" w:rsidR="00137E41" w:rsidRDefault="006D50B3" w:rsidP="00696C4A">
      <w:pPr>
        <w:ind w:firstLine="720"/>
        <w:rPr>
          <w:rFonts w:ascii="Arial" w:eastAsia="Arial" w:hAnsi="Arial"/>
          <w:sz w:val="18"/>
          <w:szCs w:val="18"/>
        </w:rPr>
      </w:pPr>
      <w:r w:rsidRPr="006D50B3">
        <w:rPr>
          <w:rFonts w:ascii="Arial" w:eastAsia="Arial" w:hAnsi="Arial"/>
          <w:sz w:val="18"/>
          <w:szCs w:val="18"/>
        </w:rPr>
        <w:t>30</w:t>
      </w:r>
      <w:r>
        <w:rPr>
          <w:rFonts w:ascii="Arial" w:eastAsia="Arial" w:hAnsi="Arial"/>
          <w:sz w:val="18"/>
          <w:szCs w:val="18"/>
        </w:rPr>
        <w:t xml:space="preserve">                                                                          </w:t>
      </w:r>
      <w:r w:rsidRPr="006D50B3">
        <w:rPr>
          <w:rFonts w:ascii="Arial" w:eastAsia="Arial" w:hAnsi="Arial"/>
          <w:sz w:val="28"/>
          <w:szCs w:val="18"/>
        </w:rPr>
        <w:t>B</w:t>
      </w:r>
    </w:p>
    <w:p w14:paraId="04FA2837" w14:textId="77777777" w:rsidR="006D50B3" w:rsidRDefault="006D50B3" w:rsidP="00696C4A">
      <w:pPr>
        <w:ind w:firstLine="720"/>
        <w:rPr>
          <w:rFonts w:ascii="Arial" w:eastAsia="Arial" w:hAnsi="Arial"/>
          <w:sz w:val="18"/>
          <w:szCs w:val="18"/>
        </w:rPr>
      </w:pPr>
    </w:p>
    <w:p w14:paraId="0BE57E54" w14:textId="77777777" w:rsidR="006D50B3" w:rsidRDefault="006D50B3" w:rsidP="00696C4A">
      <w:pPr>
        <w:ind w:firstLine="720"/>
        <w:rPr>
          <w:rFonts w:ascii="Arial" w:eastAsia="Arial" w:hAnsi="Arial"/>
          <w:sz w:val="18"/>
          <w:szCs w:val="18"/>
        </w:rPr>
      </w:pPr>
      <w:r>
        <w:rPr>
          <w:rFonts w:ascii="Arial" w:eastAsia="Arial" w:hAnsi="Arial"/>
          <w:sz w:val="18"/>
          <w:szCs w:val="18"/>
        </w:rPr>
        <w:t>20</w:t>
      </w:r>
    </w:p>
    <w:p w14:paraId="7E2C26C4" w14:textId="77777777" w:rsidR="006D50B3" w:rsidRDefault="006D50B3" w:rsidP="00696C4A">
      <w:pPr>
        <w:ind w:firstLine="720"/>
        <w:rPr>
          <w:rFonts w:ascii="Arial" w:eastAsia="Arial" w:hAnsi="Arial"/>
          <w:sz w:val="18"/>
          <w:szCs w:val="18"/>
        </w:rPr>
      </w:pPr>
    </w:p>
    <w:p w14:paraId="7ED82DA0" w14:textId="77777777" w:rsidR="006D50B3" w:rsidRDefault="006D50B3" w:rsidP="00696C4A">
      <w:pPr>
        <w:ind w:firstLine="720"/>
        <w:rPr>
          <w:rFonts w:ascii="Arial" w:eastAsia="Arial" w:hAnsi="Arial"/>
          <w:sz w:val="18"/>
          <w:szCs w:val="18"/>
        </w:rPr>
      </w:pPr>
      <w:r>
        <w:rPr>
          <w:rFonts w:ascii="Arial" w:eastAsia="Arial" w:hAnsi="Arial"/>
          <w:sz w:val="18"/>
          <w:szCs w:val="18"/>
        </w:rPr>
        <w:t>10</w:t>
      </w:r>
    </w:p>
    <w:p w14:paraId="465B6037" w14:textId="77777777" w:rsidR="006D50B3" w:rsidRDefault="006D50B3" w:rsidP="00696C4A">
      <w:pPr>
        <w:ind w:firstLine="720"/>
        <w:rPr>
          <w:rFonts w:ascii="Arial" w:eastAsia="Arial" w:hAnsi="Arial"/>
          <w:sz w:val="18"/>
          <w:szCs w:val="18"/>
        </w:rPr>
      </w:pPr>
    </w:p>
    <w:p w14:paraId="3A86F905" w14:textId="77777777" w:rsidR="00137E41" w:rsidRPr="006D50B3" w:rsidRDefault="006D50B3" w:rsidP="00696C4A">
      <w:pPr>
        <w:ind w:firstLine="720"/>
        <w:rPr>
          <w:rFonts w:ascii="Arial" w:eastAsia="Arial" w:hAnsi="Arial"/>
          <w:sz w:val="18"/>
          <w:szCs w:val="18"/>
        </w:rPr>
      </w:pPr>
      <w:r>
        <w:rPr>
          <w:rFonts w:ascii="Arial" w:eastAsia="Arial" w:hAnsi="Arial"/>
          <w:sz w:val="18"/>
          <w:szCs w:val="18"/>
        </w:rPr>
        <w:t>0</w:t>
      </w:r>
    </w:p>
    <w:p w14:paraId="670C02E4" w14:textId="77777777" w:rsidR="00696C4A" w:rsidRDefault="00696C4A" w:rsidP="00696C4A">
      <w:pPr>
        <w:tabs>
          <w:tab w:val="left" w:pos="1480"/>
        </w:tabs>
        <w:ind w:left="1500" w:right="900" w:hanging="4093"/>
        <w:jc w:val="center"/>
        <w:rPr>
          <w:rFonts w:ascii="Arial" w:eastAsia="Arial" w:hAnsi="Arial"/>
          <w:sz w:val="16"/>
          <w:lang w:val="en-US"/>
        </w:rPr>
      </w:pPr>
      <w:r>
        <w:rPr>
          <w:rFonts w:ascii="Arial" w:eastAsia="Arial" w:hAnsi="Arial"/>
        </w:rPr>
        <w:tab/>
      </w:r>
      <w:r w:rsidRPr="001A0AA2">
        <w:rPr>
          <w:rFonts w:ascii="Arial" w:eastAsia="Arial" w:hAnsi="Arial"/>
          <w:sz w:val="16"/>
          <w:lang w:val="en-US"/>
        </w:rPr>
        <w:t>20 40 60 80 100 Cumulative % of population</w:t>
      </w:r>
    </w:p>
    <w:p w14:paraId="32A0FFCB" w14:textId="77777777" w:rsidR="00E81765" w:rsidRPr="001A0AA2" w:rsidRDefault="00E81765" w:rsidP="00696C4A">
      <w:pPr>
        <w:tabs>
          <w:tab w:val="left" w:pos="1480"/>
        </w:tabs>
        <w:ind w:left="1500" w:right="900" w:hanging="4093"/>
        <w:jc w:val="center"/>
        <w:rPr>
          <w:rFonts w:ascii="Arial" w:eastAsia="Arial" w:hAnsi="Arial"/>
          <w:sz w:val="16"/>
          <w:lang w:val="en-US"/>
        </w:rPr>
      </w:pPr>
    </w:p>
    <w:p w14:paraId="0C18E8A0" w14:textId="77777777" w:rsidR="00E81765" w:rsidRDefault="00696C4A" w:rsidP="00E81765">
      <w:pPr>
        <w:spacing w:line="0" w:lineRule="atLeast"/>
        <w:ind w:left="2160" w:firstLine="720"/>
        <w:rPr>
          <w:b/>
          <w:i/>
          <w:lang w:val="en-US"/>
        </w:rPr>
      </w:pPr>
      <w:r>
        <w:rPr>
          <w:rFonts w:ascii="Arial" w:hAnsi="Arial"/>
        </w:rPr>
        <w:tab/>
      </w:r>
      <w:r>
        <w:rPr>
          <w:rFonts w:ascii="Arial" w:hAnsi="Arial"/>
        </w:rPr>
        <w:tab/>
      </w:r>
      <w:r>
        <w:rPr>
          <w:rFonts w:ascii="Arial" w:hAnsi="Arial"/>
        </w:rPr>
        <w:tab/>
      </w:r>
      <w:r w:rsidR="00E81765">
        <w:rPr>
          <w:b/>
          <w:lang w:val="en-US"/>
        </w:rPr>
        <w:t>Figure 3</w:t>
      </w:r>
      <w:r w:rsidR="00E81765" w:rsidRPr="001A0AA2">
        <w:rPr>
          <w:b/>
          <w:lang w:val="en-US"/>
        </w:rPr>
        <w:t xml:space="preserve">. </w:t>
      </w:r>
      <w:r w:rsidR="00E81765" w:rsidRPr="001A0AA2">
        <w:rPr>
          <w:b/>
          <w:i/>
          <w:lang w:val="en-US"/>
        </w:rPr>
        <w:t>Lorenz Curve</w:t>
      </w:r>
    </w:p>
    <w:p w14:paraId="52D7C902" w14:textId="77777777" w:rsidR="00137E41" w:rsidRPr="00137E41" w:rsidRDefault="00696C4A" w:rsidP="00696C4A">
      <w:pPr>
        <w:rPr>
          <w:rFonts w:ascii="Arial" w:eastAsia="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B4725F2" w14:textId="77777777" w:rsidR="00137E41" w:rsidRPr="00137E41" w:rsidRDefault="00137E41" w:rsidP="00137E41">
      <w:pPr>
        <w:ind w:left="4320" w:firstLine="720"/>
        <w:rPr>
          <w:rFonts w:ascii="Arial" w:eastAsia="Arial" w:hAnsi="Arial"/>
        </w:rPr>
      </w:pPr>
    </w:p>
    <w:p w14:paraId="3387950C" w14:textId="77777777" w:rsidR="00137E41" w:rsidRPr="00137E41" w:rsidRDefault="00137E41" w:rsidP="00696C4A">
      <w:pPr>
        <w:rPr>
          <w:rFonts w:ascii="Arial" w:eastAsia="Arial" w:hAnsi="Arial"/>
        </w:rPr>
      </w:pPr>
    </w:p>
    <w:p w14:paraId="736DC8EB" w14:textId="77777777" w:rsidR="00137E41" w:rsidRPr="00137E41" w:rsidRDefault="00137E41" w:rsidP="00696C4A">
      <w:pPr>
        <w:rPr>
          <w:rFonts w:ascii="Arial" w:eastAsia="Arial" w:hAnsi="Arial"/>
        </w:rPr>
      </w:pPr>
    </w:p>
    <w:p w14:paraId="09771E7B" w14:textId="77777777" w:rsidR="000C6442" w:rsidRDefault="000C6442" w:rsidP="000C6442">
      <w:pPr>
        <w:spacing w:line="0" w:lineRule="atLeast"/>
        <w:rPr>
          <w:b/>
          <w:lang w:val="en-US"/>
        </w:rPr>
      </w:pPr>
    </w:p>
    <w:p w14:paraId="39D90C22" w14:textId="77777777" w:rsidR="000C6442" w:rsidRDefault="000C6442" w:rsidP="000C6442">
      <w:pPr>
        <w:spacing w:line="0" w:lineRule="atLeast"/>
        <w:rPr>
          <w:b/>
          <w:lang w:val="en-US"/>
        </w:rPr>
      </w:pPr>
    </w:p>
    <w:p w14:paraId="56B337B6" w14:textId="77777777" w:rsidR="000C6442" w:rsidRDefault="000C6442" w:rsidP="000C6442">
      <w:pPr>
        <w:spacing w:line="0" w:lineRule="atLeast"/>
        <w:rPr>
          <w:sz w:val="28"/>
          <w:szCs w:val="28"/>
          <w:lang w:val="en-US"/>
        </w:rPr>
      </w:pPr>
      <w:r w:rsidRPr="000C6442">
        <w:rPr>
          <w:sz w:val="28"/>
          <w:szCs w:val="28"/>
          <w:lang w:val="en-US"/>
        </w:rPr>
        <w:t>Formally, let xi be a point on the X-axis, and yi a point on the Y-axis. Then</w:t>
      </w:r>
    </w:p>
    <w:p w14:paraId="346D2645" w14:textId="77777777" w:rsidR="000C6442" w:rsidRDefault="000C6442" w:rsidP="000C6442">
      <w:pPr>
        <w:spacing w:line="0" w:lineRule="atLeast"/>
        <w:rPr>
          <w:sz w:val="28"/>
          <w:szCs w:val="28"/>
          <w:lang w:val="en-US"/>
        </w:rPr>
      </w:pPr>
    </w:p>
    <w:tbl>
      <w:tblPr>
        <w:tblW w:w="8565" w:type="dxa"/>
        <w:tblLayout w:type="fixed"/>
        <w:tblCellMar>
          <w:left w:w="0" w:type="dxa"/>
          <w:right w:w="0" w:type="dxa"/>
        </w:tblCellMar>
        <w:tblLook w:val="0000" w:firstRow="0" w:lastRow="0" w:firstColumn="0" w:lastColumn="0" w:noHBand="0" w:noVBand="0"/>
      </w:tblPr>
      <w:tblGrid>
        <w:gridCol w:w="2078"/>
        <w:gridCol w:w="6487"/>
      </w:tblGrid>
      <w:tr w:rsidR="000C6442" w:rsidRPr="000C6442" w14:paraId="3F507901" w14:textId="77777777" w:rsidTr="000C6442">
        <w:trPr>
          <w:trHeight w:val="183"/>
        </w:trPr>
        <w:tc>
          <w:tcPr>
            <w:tcW w:w="2078" w:type="dxa"/>
            <w:shd w:val="clear" w:color="auto" w:fill="auto"/>
            <w:vAlign w:val="bottom"/>
          </w:tcPr>
          <w:p w14:paraId="5A620725" w14:textId="77777777" w:rsidR="000C6442" w:rsidRPr="000C6442" w:rsidRDefault="000C6442" w:rsidP="008865CA">
            <w:pPr>
              <w:spacing w:line="0" w:lineRule="atLeast"/>
              <w:rPr>
                <w:sz w:val="28"/>
                <w:szCs w:val="28"/>
                <w:lang w:val="en-US"/>
              </w:rPr>
            </w:pPr>
          </w:p>
        </w:tc>
        <w:tc>
          <w:tcPr>
            <w:tcW w:w="6487" w:type="dxa"/>
            <w:shd w:val="clear" w:color="auto" w:fill="auto"/>
            <w:vAlign w:val="bottom"/>
          </w:tcPr>
          <w:p w14:paraId="7DB90DB9" w14:textId="77777777" w:rsidR="000C6442" w:rsidRPr="000C6442" w:rsidRDefault="000C6442" w:rsidP="008865CA">
            <w:pPr>
              <w:spacing w:line="0" w:lineRule="atLeast"/>
              <w:ind w:left="1940"/>
              <w:rPr>
                <w:i/>
                <w:sz w:val="28"/>
                <w:szCs w:val="28"/>
              </w:rPr>
            </w:pPr>
            <w:r w:rsidRPr="000C6442">
              <w:rPr>
                <w:i/>
                <w:sz w:val="28"/>
                <w:szCs w:val="28"/>
              </w:rPr>
              <w:t>N</w:t>
            </w:r>
          </w:p>
        </w:tc>
      </w:tr>
      <w:tr w:rsidR="000C6442" w:rsidRPr="000C6442" w14:paraId="352E7B63" w14:textId="77777777" w:rsidTr="000C6442">
        <w:trPr>
          <w:trHeight w:val="382"/>
        </w:trPr>
        <w:tc>
          <w:tcPr>
            <w:tcW w:w="2078" w:type="dxa"/>
            <w:shd w:val="clear" w:color="auto" w:fill="auto"/>
            <w:vAlign w:val="bottom"/>
          </w:tcPr>
          <w:p w14:paraId="0D3EEC84" w14:textId="77777777" w:rsidR="000C6442" w:rsidRPr="000C6442" w:rsidRDefault="000C6442" w:rsidP="008865CA">
            <w:pPr>
              <w:spacing w:line="0" w:lineRule="atLeast"/>
              <w:ind w:right="740"/>
              <w:jc w:val="right"/>
              <w:rPr>
                <w:b/>
                <w:w w:val="95"/>
                <w:sz w:val="28"/>
                <w:szCs w:val="28"/>
              </w:rPr>
            </w:pPr>
            <w:r w:rsidRPr="000C6442">
              <w:rPr>
                <w:b/>
                <w:w w:val="95"/>
                <w:sz w:val="28"/>
                <w:szCs w:val="28"/>
              </w:rPr>
              <w:t>(1.1)</w:t>
            </w:r>
          </w:p>
        </w:tc>
        <w:tc>
          <w:tcPr>
            <w:tcW w:w="6487" w:type="dxa"/>
            <w:shd w:val="clear" w:color="auto" w:fill="auto"/>
            <w:vAlign w:val="bottom"/>
          </w:tcPr>
          <w:p w14:paraId="42042C91" w14:textId="77777777" w:rsidR="000C6442" w:rsidRPr="000C6442" w:rsidRDefault="000C6442" w:rsidP="008865CA">
            <w:pPr>
              <w:spacing w:line="335" w:lineRule="exact"/>
              <w:ind w:left="860"/>
              <w:rPr>
                <w:w w:val="94"/>
                <w:sz w:val="28"/>
                <w:szCs w:val="28"/>
              </w:rPr>
            </w:pPr>
            <w:r w:rsidRPr="000C6442">
              <w:rPr>
                <w:i/>
                <w:w w:val="94"/>
                <w:sz w:val="28"/>
                <w:szCs w:val="28"/>
              </w:rPr>
              <w:t xml:space="preserve">Gini </w:t>
            </w:r>
            <w:r w:rsidRPr="000C6442">
              <w:rPr>
                <w:rFonts w:ascii="Arial" w:eastAsia="Arial" w:hAnsi="Arial"/>
                <w:w w:val="94"/>
                <w:sz w:val="28"/>
                <w:szCs w:val="28"/>
              </w:rPr>
              <w:t>=</w:t>
            </w:r>
            <w:r w:rsidRPr="000C6442">
              <w:rPr>
                <w:i/>
                <w:w w:val="94"/>
                <w:sz w:val="28"/>
                <w:szCs w:val="28"/>
              </w:rPr>
              <w:t xml:space="preserve"> </w:t>
            </w:r>
            <w:r w:rsidRPr="000C6442">
              <w:rPr>
                <w:w w:val="94"/>
                <w:sz w:val="28"/>
                <w:szCs w:val="28"/>
              </w:rPr>
              <w:t>1</w:t>
            </w:r>
            <w:r w:rsidRPr="000C6442">
              <w:rPr>
                <w:i/>
                <w:w w:val="94"/>
                <w:sz w:val="28"/>
                <w:szCs w:val="28"/>
              </w:rPr>
              <w:t xml:space="preserve"> </w:t>
            </w:r>
            <w:r w:rsidRPr="000C6442">
              <w:rPr>
                <w:rFonts w:ascii="Arial" w:eastAsia="Arial" w:hAnsi="Arial"/>
                <w:w w:val="94"/>
                <w:sz w:val="28"/>
                <w:szCs w:val="28"/>
              </w:rPr>
              <w:t>−</w:t>
            </w:r>
            <w:r w:rsidRPr="000C6442">
              <w:rPr>
                <w:i/>
                <w:w w:val="94"/>
                <w:sz w:val="28"/>
                <w:szCs w:val="28"/>
              </w:rPr>
              <w:t xml:space="preserve"> </w:t>
            </w:r>
            <w:r w:rsidRPr="000C6442">
              <w:rPr>
                <w:rFonts w:ascii="Arial" w:eastAsia="Arial" w:hAnsi="Arial"/>
                <w:w w:val="94"/>
                <w:sz w:val="28"/>
                <w:szCs w:val="28"/>
              </w:rPr>
              <w:t>∑</w:t>
            </w:r>
            <w:r w:rsidRPr="000C6442">
              <w:rPr>
                <w:w w:val="94"/>
                <w:sz w:val="28"/>
                <w:szCs w:val="28"/>
              </w:rPr>
              <w:t>(</w:t>
            </w:r>
            <w:r w:rsidRPr="000C6442">
              <w:rPr>
                <w:i/>
                <w:w w:val="94"/>
                <w:sz w:val="28"/>
                <w:szCs w:val="28"/>
              </w:rPr>
              <w:t>x</w:t>
            </w:r>
            <w:r w:rsidRPr="000C6442">
              <w:rPr>
                <w:i/>
                <w:w w:val="94"/>
                <w:sz w:val="28"/>
                <w:szCs w:val="28"/>
                <w:vertAlign w:val="subscript"/>
              </w:rPr>
              <w:t>i</w:t>
            </w:r>
            <w:r w:rsidRPr="000C6442">
              <w:rPr>
                <w:i/>
                <w:w w:val="94"/>
                <w:sz w:val="28"/>
                <w:szCs w:val="28"/>
              </w:rPr>
              <w:t xml:space="preserve"> </w:t>
            </w:r>
            <w:r w:rsidRPr="000C6442">
              <w:rPr>
                <w:rFonts w:ascii="Arial" w:eastAsia="Arial" w:hAnsi="Arial"/>
                <w:w w:val="94"/>
                <w:sz w:val="28"/>
                <w:szCs w:val="28"/>
              </w:rPr>
              <w:t>−</w:t>
            </w:r>
            <w:r w:rsidRPr="000C6442">
              <w:rPr>
                <w:i/>
                <w:w w:val="94"/>
                <w:sz w:val="28"/>
                <w:szCs w:val="28"/>
              </w:rPr>
              <w:t xml:space="preserve"> x</w:t>
            </w:r>
            <w:r w:rsidRPr="000C6442">
              <w:rPr>
                <w:i/>
                <w:w w:val="94"/>
                <w:sz w:val="28"/>
                <w:szCs w:val="28"/>
                <w:vertAlign w:val="subscript"/>
              </w:rPr>
              <w:t>i</w:t>
            </w:r>
            <w:r w:rsidRPr="000C6442">
              <w:rPr>
                <w:rFonts w:ascii="Arial" w:eastAsia="Arial" w:hAnsi="Arial"/>
                <w:w w:val="94"/>
                <w:sz w:val="28"/>
                <w:szCs w:val="28"/>
                <w:vertAlign w:val="subscript"/>
              </w:rPr>
              <w:t>−</w:t>
            </w:r>
            <w:r w:rsidRPr="000C6442">
              <w:rPr>
                <w:w w:val="94"/>
                <w:sz w:val="28"/>
                <w:szCs w:val="28"/>
                <w:vertAlign w:val="subscript"/>
              </w:rPr>
              <w:t>1</w:t>
            </w:r>
            <w:r w:rsidRPr="000C6442">
              <w:rPr>
                <w:i/>
                <w:w w:val="94"/>
                <w:sz w:val="28"/>
                <w:szCs w:val="28"/>
              </w:rPr>
              <w:t xml:space="preserve"> </w:t>
            </w:r>
            <w:r w:rsidRPr="000C6442">
              <w:rPr>
                <w:w w:val="94"/>
                <w:sz w:val="28"/>
                <w:szCs w:val="28"/>
              </w:rPr>
              <w:t>)(</w:t>
            </w:r>
            <w:r w:rsidRPr="000C6442">
              <w:rPr>
                <w:i/>
                <w:w w:val="94"/>
                <w:sz w:val="28"/>
                <w:szCs w:val="28"/>
              </w:rPr>
              <w:t xml:space="preserve"> y</w:t>
            </w:r>
            <w:r w:rsidRPr="000C6442">
              <w:rPr>
                <w:i/>
                <w:w w:val="94"/>
                <w:sz w:val="28"/>
                <w:szCs w:val="28"/>
                <w:vertAlign w:val="subscript"/>
              </w:rPr>
              <w:t>i</w:t>
            </w:r>
            <w:r w:rsidRPr="000C6442">
              <w:rPr>
                <w:i/>
                <w:w w:val="94"/>
                <w:sz w:val="28"/>
                <w:szCs w:val="28"/>
              </w:rPr>
              <w:t xml:space="preserve"> </w:t>
            </w:r>
            <w:r w:rsidRPr="000C6442">
              <w:rPr>
                <w:rFonts w:ascii="Arial" w:eastAsia="Arial" w:hAnsi="Arial"/>
                <w:w w:val="94"/>
                <w:sz w:val="28"/>
                <w:szCs w:val="28"/>
              </w:rPr>
              <w:t>+</w:t>
            </w:r>
            <w:r w:rsidRPr="000C6442">
              <w:rPr>
                <w:i/>
                <w:w w:val="94"/>
                <w:sz w:val="28"/>
                <w:szCs w:val="28"/>
              </w:rPr>
              <w:t xml:space="preserve"> y</w:t>
            </w:r>
            <w:r w:rsidRPr="000C6442">
              <w:rPr>
                <w:i/>
                <w:w w:val="94"/>
                <w:sz w:val="28"/>
                <w:szCs w:val="28"/>
                <w:vertAlign w:val="subscript"/>
              </w:rPr>
              <w:t>i</w:t>
            </w:r>
            <w:r w:rsidRPr="000C6442">
              <w:rPr>
                <w:rFonts w:ascii="Arial" w:eastAsia="Arial" w:hAnsi="Arial"/>
                <w:w w:val="94"/>
                <w:sz w:val="28"/>
                <w:szCs w:val="28"/>
                <w:vertAlign w:val="subscript"/>
              </w:rPr>
              <w:t>−</w:t>
            </w:r>
            <w:r w:rsidRPr="000C6442">
              <w:rPr>
                <w:w w:val="94"/>
                <w:sz w:val="28"/>
                <w:szCs w:val="28"/>
                <w:vertAlign w:val="subscript"/>
              </w:rPr>
              <w:t>1</w:t>
            </w:r>
            <w:r w:rsidRPr="000C6442">
              <w:rPr>
                <w:i/>
                <w:w w:val="94"/>
                <w:sz w:val="28"/>
                <w:szCs w:val="28"/>
              </w:rPr>
              <w:t xml:space="preserve"> </w:t>
            </w:r>
            <w:r w:rsidRPr="000C6442">
              <w:rPr>
                <w:w w:val="94"/>
                <w:sz w:val="28"/>
                <w:szCs w:val="28"/>
              </w:rPr>
              <w:t>).</w:t>
            </w:r>
          </w:p>
        </w:tc>
      </w:tr>
    </w:tbl>
    <w:p w14:paraId="53404E18" w14:textId="77777777" w:rsidR="000C6442" w:rsidRDefault="000C6442" w:rsidP="000C6442">
      <w:pPr>
        <w:spacing w:line="0" w:lineRule="atLeast"/>
        <w:rPr>
          <w:sz w:val="28"/>
          <w:szCs w:val="28"/>
        </w:rPr>
      </w:pPr>
    </w:p>
    <w:p w14:paraId="6500D358" w14:textId="77777777" w:rsidR="000C6442" w:rsidRPr="000C6442" w:rsidRDefault="000C6442" w:rsidP="000C6442">
      <w:pPr>
        <w:spacing w:line="330" w:lineRule="exact"/>
        <w:rPr>
          <w:sz w:val="32"/>
          <w:lang w:val="en-US"/>
        </w:rPr>
      </w:pPr>
    </w:p>
    <w:p w14:paraId="6BB8D4FF" w14:textId="77777777" w:rsidR="000C6442" w:rsidRDefault="000C6442" w:rsidP="000C6442">
      <w:pPr>
        <w:spacing w:line="0" w:lineRule="atLeast"/>
        <w:rPr>
          <w:sz w:val="28"/>
          <w:lang w:val="en-US"/>
        </w:rPr>
      </w:pPr>
      <w:r w:rsidRPr="000C6442">
        <w:rPr>
          <w:sz w:val="28"/>
          <w:lang w:val="en-US"/>
        </w:rPr>
        <w:t>When there are N equal intervals on the X-axis this simplifies to</w:t>
      </w:r>
    </w:p>
    <w:p w14:paraId="2CD02868" w14:textId="77777777" w:rsidR="000C6442" w:rsidRDefault="000C6442" w:rsidP="000C6442">
      <w:pPr>
        <w:spacing w:line="0" w:lineRule="atLeast"/>
        <w:rPr>
          <w:sz w:val="28"/>
          <w:lang w:val="en-US"/>
        </w:rPr>
      </w:pPr>
    </w:p>
    <w:p w14:paraId="48AAFBAB" w14:textId="77777777" w:rsidR="000C6442" w:rsidRDefault="000C6442" w:rsidP="000C6442">
      <w:pPr>
        <w:spacing w:line="0" w:lineRule="atLeast"/>
        <w:rPr>
          <w:sz w:val="28"/>
          <w:lang w:val="en-US"/>
        </w:rPr>
      </w:pPr>
    </w:p>
    <w:p w14:paraId="62859973" w14:textId="77777777" w:rsidR="000C6442" w:rsidRDefault="000C6442" w:rsidP="000C6442">
      <w:pPr>
        <w:spacing w:line="0" w:lineRule="atLeast"/>
        <w:rPr>
          <w:sz w:val="28"/>
          <w:lang w:val="en-US"/>
        </w:rPr>
      </w:pPr>
    </w:p>
    <w:tbl>
      <w:tblPr>
        <w:tblW w:w="9016" w:type="dxa"/>
        <w:tblLayout w:type="fixed"/>
        <w:tblCellMar>
          <w:left w:w="0" w:type="dxa"/>
          <w:right w:w="0" w:type="dxa"/>
        </w:tblCellMar>
        <w:tblLook w:val="0000" w:firstRow="0" w:lastRow="0" w:firstColumn="0" w:lastColumn="0" w:noHBand="0" w:noVBand="0"/>
      </w:tblPr>
      <w:tblGrid>
        <w:gridCol w:w="2754"/>
        <w:gridCol w:w="3672"/>
        <w:gridCol w:w="360"/>
        <w:gridCol w:w="2230"/>
      </w:tblGrid>
      <w:tr w:rsidR="000C6442" w:rsidRPr="000C6442" w14:paraId="7DB1EF1C" w14:textId="77777777" w:rsidTr="000C6442">
        <w:trPr>
          <w:trHeight w:val="160"/>
        </w:trPr>
        <w:tc>
          <w:tcPr>
            <w:tcW w:w="2754" w:type="dxa"/>
            <w:shd w:val="clear" w:color="auto" w:fill="auto"/>
            <w:vAlign w:val="bottom"/>
          </w:tcPr>
          <w:p w14:paraId="3A5CB1CF" w14:textId="77777777" w:rsidR="000C6442" w:rsidRPr="000C6442" w:rsidRDefault="000C6442" w:rsidP="008865CA">
            <w:pPr>
              <w:spacing w:line="0" w:lineRule="atLeast"/>
              <w:rPr>
                <w:sz w:val="28"/>
                <w:szCs w:val="28"/>
                <w:lang w:val="en-US"/>
              </w:rPr>
            </w:pPr>
          </w:p>
        </w:tc>
        <w:tc>
          <w:tcPr>
            <w:tcW w:w="3672" w:type="dxa"/>
            <w:shd w:val="clear" w:color="auto" w:fill="auto"/>
            <w:vAlign w:val="bottom"/>
          </w:tcPr>
          <w:p w14:paraId="111E34A8" w14:textId="77777777" w:rsidR="000C6442" w:rsidRPr="000C6442" w:rsidRDefault="000C6442" w:rsidP="008865CA">
            <w:pPr>
              <w:spacing w:line="0" w:lineRule="atLeast"/>
              <w:rPr>
                <w:sz w:val="28"/>
                <w:szCs w:val="28"/>
                <w:lang w:val="en-US"/>
              </w:rPr>
            </w:pPr>
          </w:p>
        </w:tc>
        <w:tc>
          <w:tcPr>
            <w:tcW w:w="360" w:type="dxa"/>
            <w:vMerge w:val="restart"/>
            <w:shd w:val="clear" w:color="auto" w:fill="auto"/>
            <w:vAlign w:val="bottom"/>
          </w:tcPr>
          <w:p w14:paraId="4ED6DE6E" w14:textId="77777777" w:rsidR="000C6442" w:rsidRPr="000C6442" w:rsidRDefault="000C6442" w:rsidP="008865CA">
            <w:pPr>
              <w:spacing w:line="0" w:lineRule="atLeast"/>
              <w:ind w:left="60"/>
              <w:rPr>
                <w:sz w:val="28"/>
                <w:szCs w:val="28"/>
              </w:rPr>
            </w:pPr>
            <w:r w:rsidRPr="000C6442">
              <w:rPr>
                <w:sz w:val="28"/>
                <w:szCs w:val="28"/>
              </w:rPr>
              <w:t>1</w:t>
            </w:r>
          </w:p>
        </w:tc>
        <w:tc>
          <w:tcPr>
            <w:tcW w:w="2230" w:type="dxa"/>
            <w:shd w:val="clear" w:color="auto" w:fill="auto"/>
            <w:vAlign w:val="bottom"/>
          </w:tcPr>
          <w:p w14:paraId="24201427" w14:textId="77777777" w:rsidR="000C6442" w:rsidRPr="000C6442" w:rsidRDefault="000C6442" w:rsidP="008865CA">
            <w:pPr>
              <w:spacing w:line="0" w:lineRule="atLeast"/>
              <w:ind w:left="120"/>
              <w:rPr>
                <w:i/>
                <w:sz w:val="28"/>
                <w:szCs w:val="28"/>
              </w:rPr>
            </w:pPr>
            <w:r w:rsidRPr="000C6442">
              <w:rPr>
                <w:i/>
                <w:sz w:val="28"/>
                <w:szCs w:val="28"/>
              </w:rPr>
              <w:t>N</w:t>
            </w:r>
          </w:p>
        </w:tc>
      </w:tr>
      <w:tr w:rsidR="000C6442" w:rsidRPr="000C6442" w14:paraId="24FAC1F2" w14:textId="77777777" w:rsidTr="000C6442">
        <w:trPr>
          <w:trHeight w:val="368"/>
        </w:trPr>
        <w:tc>
          <w:tcPr>
            <w:tcW w:w="2754" w:type="dxa"/>
            <w:vMerge w:val="restart"/>
            <w:shd w:val="clear" w:color="auto" w:fill="auto"/>
            <w:vAlign w:val="bottom"/>
          </w:tcPr>
          <w:p w14:paraId="2E2F084C" w14:textId="77777777" w:rsidR="000C6442" w:rsidRPr="000C6442" w:rsidRDefault="000C6442" w:rsidP="008865CA">
            <w:pPr>
              <w:spacing w:line="0" w:lineRule="atLeast"/>
              <w:ind w:right="1100"/>
              <w:jc w:val="right"/>
              <w:rPr>
                <w:b/>
                <w:w w:val="95"/>
                <w:sz w:val="28"/>
                <w:szCs w:val="28"/>
              </w:rPr>
            </w:pPr>
            <w:r w:rsidRPr="000C6442">
              <w:rPr>
                <w:b/>
                <w:w w:val="95"/>
                <w:sz w:val="28"/>
                <w:szCs w:val="28"/>
              </w:rPr>
              <w:t>(1.2)</w:t>
            </w:r>
          </w:p>
        </w:tc>
        <w:tc>
          <w:tcPr>
            <w:tcW w:w="3672" w:type="dxa"/>
            <w:vMerge w:val="restart"/>
            <w:shd w:val="clear" w:color="auto" w:fill="auto"/>
            <w:vAlign w:val="bottom"/>
          </w:tcPr>
          <w:p w14:paraId="5D5E20A7" w14:textId="77777777" w:rsidR="000C6442" w:rsidRPr="000C6442" w:rsidRDefault="000C6442" w:rsidP="008865CA">
            <w:pPr>
              <w:spacing w:line="0" w:lineRule="atLeast"/>
              <w:ind w:left="1220"/>
              <w:rPr>
                <w:rFonts w:ascii="Arial" w:eastAsia="Arial" w:hAnsi="Arial"/>
                <w:w w:val="99"/>
                <w:sz w:val="28"/>
                <w:szCs w:val="28"/>
              </w:rPr>
            </w:pPr>
            <w:r w:rsidRPr="000C6442">
              <w:rPr>
                <w:i/>
                <w:w w:val="99"/>
                <w:sz w:val="28"/>
                <w:szCs w:val="28"/>
              </w:rPr>
              <w:t xml:space="preserve">Gini </w:t>
            </w:r>
            <w:r w:rsidRPr="000C6442">
              <w:rPr>
                <w:rFonts w:ascii="Arial" w:eastAsia="Arial" w:hAnsi="Arial"/>
                <w:w w:val="99"/>
                <w:sz w:val="28"/>
                <w:szCs w:val="28"/>
              </w:rPr>
              <w:t>=</w:t>
            </w:r>
            <w:r w:rsidRPr="000C6442">
              <w:rPr>
                <w:i/>
                <w:w w:val="99"/>
                <w:sz w:val="28"/>
                <w:szCs w:val="28"/>
              </w:rPr>
              <w:t xml:space="preserve"> </w:t>
            </w:r>
            <w:r w:rsidRPr="000C6442">
              <w:rPr>
                <w:w w:val="99"/>
                <w:sz w:val="28"/>
                <w:szCs w:val="28"/>
              </w:rPr>
              <w:t>1</w:t>
            </w:r>
            <w:r w:rsidRPr="000C6442">
              <w:rPr>
                <w:i/>
                <w:w w:val="99"/>
                <w:sz w:val="28"/>
                <w:szCs w:val="28"/>
              </w:rPr>
              <w:t xml:space="preserve"> </w:t>
            </w:r>
            <w:r w:rsidRPr="000C6442">
              <w:rPr>
                <w:rFonts w:ascii="Arial" w:eastAsia="Arial" w:hAnsi="Arial"/>
                <w:w w:val="99"/>
                <w:sz w:val="28"/>
                <w:szCs w:val="28"/>
              </w:rPr>
              <w:t>−</w:t>
            </w:r>
          </w:p>
        </w:tc>
        <w:tc>
          <w:tcPr>
            <w:tcW w:w="360" w:type="dxa"/>
            <w:vMerge/>
            <w:tcBorders>
              <w:bottom w:val="single" w:sz="8" w:space="0" w:color="auto"/>
            </w:tcBorders>
            <w:shd w:val="clear" w:color="auto" w:fill="auto"/>
            <w:vAlign w:val="bottom"/>
          </w:tcPr>
          <w:p w14:paraId="7F1786B9" w14:textId="77777777" w:rsidR="000C6442" w:rsidRPr="000C6442" w:rsidRDefault="000C6442" w:rsidP="008865CA">
            <w:pPr>
              <w:spacing w:line="0" w:lineRule="atLeast"/>
              <w:rPr>
                <w:sz w:val="28"/>
                <w:szCs w:val="28"/>
              </w:rPr>
            </w:pPr>
          </w:p>
        </w:tc>
        <w:tc>
          <w:tcPr>
            <w:tcW w:w="2230" w:type="dxa"/>
            <w:vMerge w:val="restart"/>
            <w:shd w:val="clear" w:color="auto" w:fill="auto"/>
            <w:vAlign w:val="bottom"/>
          </w:tcPr>
          <w:p w14:paraId="4498622A" w14:textId="77777777" w:rsidR="000C6442" w:rsidRPr="000C6442" w:rsidRDefault="000C6442" w:rsidP="008865CA">
            <w:pPr>
              <w:spacing w:line="304" w:lineRule="exact"/>
              <w:ind w:left="60"/>
              <w:rPr>
                <w:w w:val="86"/>
                <w:sz w:val="28"/>
                <w:szCs w:val="28"/>
              </w:rPr>
            </w:pPr>
            <w:r w:rsidRPr="000C6442">
              <w:rPr>
                <w:rFonts w:ascii="Arial" w:eastAsia="Arial" w:hAnsi="Arial"/>
                <w:w w:val="86"/>
                <w:sz w:val="28"/>
                <w:szCs w:val="28"/>
              </w:rPr>
              <w:t>∑</w:t>
            </w:r>
            <w:r w:rsidRPr="000C6442">
              <w:rPr>
                <w:w w:val="86"/>
                <w:sz w:val="28"/>
                <w:szCs w:val="28"/>
              </w:rPr>
              <w:t>(</w:t>
            </w:r>
            <w:r w:rsidRPr="000C6442">
              <w:rPr>
                <w:rFonts w:ascii="Arial" w:eastAsia="Arial" w:hAnsi="Arial"/>
                <w:w w:val="86"/>
                <w:sz w:val="28"/>
                <w:szCs w:val="28"/>
              </w:rPr>
              <w:t xml:space="preserve"> </w:t>
            </w:r>
            <w:r w:rsidRPr="000C6442">
              <w:rPr>
                <w:i/>
                <w:w w:val="86"/>
                <w:sz w:val="28"/>
                <w:szCs w:val="28"/>
              </w:rPr>
              <w:t>y</w:t>
            </w:r>
            <w:r w:rsidRPr="000C6442">
              <w:rPr>
                <w:i/>
                <w:w w:val="86"/>
                <w:sz w:val="28"/>
                <w:szCs w:val="28"/>
                <w:vertAlign w:val="subscript"/>
              </w:rPr>
              <w:t>i</w:t>
            </w:r>
            <w:r w:rsidRPr="000C6442">
              <w:rPr>
                <w:rFonts w:ascii="Arial" w:eastAsia="Arial" w:hAnsi="Arial"/>
                <w:w w:val="86"/>
                <w:sz w:val="28"/>
                <w:szCs w:val="28"/>
              </w:rPr>
              <w:t xml:space="preserve"> + </w:t>
            </w:r>
            <w:r w:rsidRPr="000C6442">
              <w:rPr>
                <w:i/>
                <w:w w:val="86"/>
                <w:sz w:val="28"/>
                <w:szCs w:val="28"/>
              </w:rPr>
              <w:t>y</w:t>
            </w:r>
            <w:r w:rsidRPr="000C6442">
              <w:rPr>
                <w:i/>
                <w:w w:val="86"/>
                <w:sz w:val="28"/>
                <w:szCs w:val="28"/>
                <w:vertAlign w:val="subscript"/>
              </w:rPr>
              <w:t>i</w:t>
            </w:r>
            <w:r w:rsidRPr="000C6442">
              <w:rPr>
                <w:rFonts w:ascii="Arial" w:eastAsia="Arial" w:hAnsi="Arial"/>
                <w:w w:val="86"/>
                <w:sz w:val="28"/>
                <w:szCs w:val="28"/>
                <w:vertAlign w:val="subscript"/>
              </w:rPr>
              <w:t>−</w:t>
            </w:r>
            <w:r w:rsidRPr="000C6442">
              <w:rPr>
                <w:w w:val="86"/>
                <w:sz w:val="28"/>
                <w:szCs w:val="28"/>
                <w:vertAlign w:val="subscript"/>
              </w:rPr>
              <w:t>1</w:t>
            </w:r>
            <w:r w:rsidRPr="000C6442">
              <w:rPr>
                <w:rFonts w:ascii="Arial" w:eastAsia="Arial" w:hAnsi="Arial"/>
                <w:w w:val="86"/>
                <w:sz w:val="28"/>
                <w:szCs w:val="28"/>
              </w:rPr>
              <w:t xml:space="preserve"> </w:t>
            </w:r>
            <w:r w:rsidRPr="000C6442">
              <w:rPr>
                <w:w w:val="86"/>
                <w:sz w:val="28"/>
                <w:szCs w:val="28"/>
              </w:rPr>
              <w:t>).</w:t>
            </w:r>
          </w:p>
        </w:tc>
      </w:tr>
      <w:tr w:rsidR="000C6442" w:rsidRPr="000C6442" w14:paraId="3906E956" w14:textId="77777777" w:rsidTr="000C6442">
        <w:trPr>
          <w:trHeight w:val="105"/>
        </w:trPr>
        <w:tc>
          <w:tcPr>
            <w:tcW w:w="2754" w:type="dxa"/>
            <w:vMerge/>
            <w:shd w:val="clear" w:color="auto" w:fill="auto"/>
            <w:vAlign w:val="bottom"/>
          </w:tcPr>
          <w:p w14:paraId="42EF2ED7" w14:textId="77777777" w:rsidR="000C6442" w:rsidRPr="000C6442" w:rsidRDefault="000C6442" w:rsidP="008865CA">
            <w:pPr>
              <w:spacing w:line="0" w:lineRule="atLeast"/>
              <w:rPr>
                <w:sz w:val="28"/>
                <w:szCs w:val="28"/>
              </w:rPr>
            </w:pPr>
          </w:p>
        </w:tc>
        <w:tc>
          <w:tcPr>
            <w:tcW w:w="3672" w:type="dxa"/>
            <w:vMerge/>
            <w:shd w:val="clear" w:color="auto" w:fill="auto"/>
            <w:vAlign w:val="bottom"/>
          </w:tcPr>
          <w:p w14:paraId="6CE4C458" w14:textId="77777777" w:rsidR="000C6442" w:rsidRPr="000C6442" w:rsidRDefault="000C6442" w:rsidP="008865CA">
            <w:pPr>
              <w:spacing w:line="0" w:lineRule="atLeast"/>
              <w:rPr>
                <w:sz w:val="28"/>
                <w:szCs w:val="28"/>
              </w:rPr>
            </w:pPr>
          </w:p>
        </w:tc>
        <w:tc>
          <w:tcPr>
            <w:tcW w:w="360" w:type="dxa"/>
            <w:shd w:val="clear" w:color="auto" w:fill="auto"/>
            <w:vAlign w:val="bottom"/>
          </w:tcPr>
          <w:p w14:paraId="1F4D66CC" w14:textId="77777777" w:rsidR="000C6442" w:rsidRPr="000C6442" w:rsidRDefault="000C6442" w:rsidP="008865CA">
            <w:pPr>
              <w:spacing w:line="0" w:lineRule="atLeast"/>
              <w:rPr>
                <w:sz w:val="28"/>
                <w:szCs w:val="28"/>
              </w:rPr>
            </w:pPr>
          </w:p>
        </w:tc>
        <w:tc>
          <w:tcPr>
            <w:tcW w:w="2230" w:type="dxa"/>
            <w:vMerge/>
            <w:shd w:val="clear" w:color="auto" w:fill="auto"/>
            <w:vAlign w:val="bottom"/>
          </w:tcPr>
          <w:p w14:paraId="776D5947" w14:textId="77777777" w:rsidR="000C6442" w:rsidRPr="000C6442" w:rsidRDefault="000C6442" w:rsidP="008865CA">
            <w:pPr>
              <w:spacing w:line="0" w:lineRule="atLeast"/>
              <w:rPr>
                <w:sz w:val="28"/>
                <w:szCs w:val="28"/>
              </w:rPr>
            </w:pPr>
          </w:p>
        </w:tc>
      </w:tr>
      <w:tr w:rsidR="000C6442" w:rsidRPr="000C6442" w14:paraId="21DCFC3E" w14:textId="77777777" w:rsidTr="000C6442">
        <w:trPr>
          <w:trHeight w:val="634"/>
        </w:trPr>
        <w:tc>
          <w:tcPr>
            <w:tcW w:w="2754" w:type="dxa"/>
            <w:shd w:val="clear" w:color="auto" w:fill="auto"/>
            <w:vAlign w:val="bottom"/>
          </w:tcPr>
          <w:p w14:paraId="59325B7C" w14:textId="77777777" w:rsidR="000C6442" w:rsidRPr="000C6442" w:rsidRDefault="000C6442" w:rsidP="008865CA">
            <w:pPr>
              <w:spacing w:line="0" w:lineRule="atLeast"/>
              <w:rPr>
                <w:sz w:val="28"/>
                <w:szCs w:val="28"/>
              </w:rPr>
            </w:pPr>
          </w:p>
        </w:tc>
        <w:tc>
          <w:tcPr>
            <w:tcW w:w="3672" w:type="dxa"/>
            <w:shd w:val="clear" w:color="auto" w:fill="auto"/>
            <w:vAlign w:val="bottom"/>
          </w:tcPr>
          <w:p w14:paraId="7BEC9CAE" w14:textId="77777777" w:rsidR="000C6442" w:rsidRPr="000C6442" w:rsidRDefault="000C6442" w:rsidP="008865CA">
            <w:pPr>
              <w:spacing w:line="0" w:lineRule="atLeast"/>
              <w:rPr>
                <w:sz w:val="28"/>
                <w:szCs w:val="28"/>
              </w:rPr>
            </w:pPr>
          </w:p>
        </w:tc>
        <w:tc>
          <w:tcPr>
            <w:tcW w:w="2590" w:type="dxa"/>
            <w:gridSpan w:val="2"/>
            <w:shd w:val="clear" w:color="auto" w:fill="auto"/>
            <w:vAlign w:val="bottom"/>
          </w:tcPr>
          <w:p w14:paraId="3F43A9FC" w14:textId="77777777" w:rsidR="000C6442" w:rsidRPr="000C6442" w:rsidRDefault="000C6442" w:rsidP="008865CA">
            <w:pPr>
              <w:spacing w:line="0" w:lineRule="atLeast"/>
              <w:ind w:left="20"/>
              <w:rPr>
                <w:sz w:val="28"/>
                <w:szCs w:val="28"/>
              </w:rPr>
            </w:pPr>
            <w:r w:rsidRPr="000C6442">
              <w:rPr>
                <w:i/>
                <w:sz w:val="28"/>
                <w:szCs w:val="28"/>
                <w:vertAlign w:val="superscript"/>
              </w:rPr>
              <w:t>N</w:t>
            </w:r>
            <w:r w:rsidRPr="000C6442">
              <w:rPr>
                <w:i/>
                <w:sz w:val="28"/>
                <w:szCs w:val="28"/>
              </w:rPr>
              <w:t xml:space="preserve"> i</w:t>
            </w:r>
            <w:r w:rsidRPr="000C6442">
              <w:rPr>
                <w:rFonts w:ascii="Arial" w:eastAsia="Arial" w:hAnsi="Arial"/>
                <w:sz w:val="28"/>
                <w:szCs w:val="28"/>
              </w:rPr>
              <w:t>=</w:t>
            </w:r>
            <w:r w:rsidRPr="000C6442">
              <w:rPr>
                <w:sz w:val="28"/>
                <w:szCs w:val="28"/>
              </w:rPr>
              <w:t>1</w:t>
            </w:r>
          </w:p>
        </w:tc>
      </w:tr>
    </w:tbl>
    <w:p w14:paraId="35C5AC3E" w14:textId="77777777" w:rsidR="000C6442" w:rsidRPr="000C6442" w:rsidRDefault="000C6442" w:rsidP="000C6442">
      <w:pPr>
        <w:spacing w:line="0" w:lineRule="atLeast"/>
        <w:rPr>
          <w:sz w:val="28"/>
          <w:lang w:val="en-US"/>
        </w:rPr>
      </w:pPr>
    </w:p>
    <w:p w14:paraId="7B6D9891" w14:textId="77777777" w:rsidR="000C6442" w:rsidRPr="000C6442" w:rsidRDefault="000C6442" w:rsidP="000C6442">
      <w:pPr>
        <w:spacing w:line="0" w:lineRule="atLeast"/>
        <w:rPr>
          <w:sz w:val="28"/>
          <w:szCs w:val="28"/>
          <w:lang w:val="en-US"/>
        </w:rPr>
      </w:pPr>
    </w:p>
    <w:p w14:paraId="3682EEE8" w14:textId="77777777" w:rsidR="00137E41" w:rsidRPr="001F3143" w:rsidRDefault="00C04678" w:rsidP="0055295E">
      <w:pPr>
        <w:spacing w:line="360" w:lineRule="auto"/>
        <w:jc w:val="both"/>
        <w:rPr>
          <w:rFonts w:eastAsia="Arial"/>
          <w:sz w:val="28"/>
          <w:szCs w:val="28"/>
          <w:lang w:val="en-US"/>
        </w:rPr>
      </w:pPr>
      <w:r w:rsidRPr="001F3143">
        <w:rPr>
          <w:rFonts w:eastAsia="Arial"/>
          <w:sz w:val="28"/>
          <w:szCs w:val="28"/>
          <w:lang w:val="en-US"/>
        </w:rPr>
        <w:t>Not entirely satisfactory is the Gini coefficient. For see that, consider the criteria that make income inequality a good measure, namely:</w:t>
      </w:r>
    </w:p>
    <w:p w14:paraId="58141A6A" w14:textId="77777777" w:rsidR="00C04678" w:rsidRPr="001F3143" w:rsidRDefault="00C04678" w:rsidP="0055295E">
      <w:pPr>
        <w:spacing w:line="360" w:lineRule="auto"/>
        <w:jc w:val="both"/>
        <w:rPr>
          <w:rFonts w:eastAsia="Arial"/>
          <w:sz w:val="28"/>
          <w:szCs w:val="28"/>
          <w:lang w:val="en-US"/>
        </w:rPr>
      </w:pPr>
    </w:p>
    <w:p w14:paraId="16463013" w14:textId="77777777" w:rsidR="00C04678" w:rsidRPr="001F3143" w:rsidRDefault="00C04678" w:rsidP="0055295E">
      <w:pPr>
        <w:spacing w:line="360" w:lineRule="auto"/>
        <w:jc w:val="both"/>
        <w:rPr>
          <w:rFonts w:eastAsia="Arial"/>
          <w:sz w:val="28"/>
          <w:szCs w:val="28"/>
          <w:lang w:val="en-US"/>
        </w:rPr>
      </w:pPr>
      <w:r w:rsidRPr="001F3143">
        <w:rPr>
          <w:rFonts w:eastAsia="Arial"/>
          <w:sz w:val="28"/>
          <w:szCs w:val="28"/>
          <w:lang w:val="en-US"/>
        </w:rPr>
        <w:t>•</w:t>
      </w:r>
      <w:r w:rsidRPr="001F3143">
        <w:rPr>
          <w:rFonts w:eastAsia="Arial"/>
          <w:sz w:val="28"/>
          <w:szCs w:val="28"/>
          <w:lang w:val="en-US"/>
        </w:rPr>
        <w:tab/>
        <w:t>Mean independence. This means that the measure would not change if all income were doubled. This is what the Gini is satisfying.</w:t>
      </w:r>
    </w:p>
    <w:p w14:paraId="1DAEFB08" w14:textId="77777777" w:rsidR="00C04678" w:rsidRPr="001F3143" w:rsidRDefault="00C04678" w:rsidP="0055295E">
      <w:pPr>
        <w:spacing w:line="360" w:lineRule="auto"/>
        <w:jc w:val="both"/>
        <w:rPr>
          <w:rFonts w:eastAsia="Arial"/>
          <w:sz w:val="28"/>
          <w:szCs w:val="28"/>
        </w:rPr>
      </w:pPr>
    </w:p>
    <w:p w14:paraId="5CE1293D" w14:textId="77777777" w:rsidR="00C04678" w:rsidRDefault="00C04678" w:rsidP="0055295E">
      <w:pPr>
        <w:spacing w:line="360" w:lineRule="auto"/>
        <w:jc w:val="both"/>
        <w:rPr>
          <w:rFonts w:eastAsia="Arial"/>
          <w:sz w:val="28"/>
          <w:szCs w:val="28"/>
        </w:rPr>
      </w:pPr>
      <w:r w:rsidRPr="001F3143">
        <w:rPr>
          <w:rFonts w:eastAsia="Arial"/>
          <w:sz w:val="28"/>
          <w:szCs w:val="28"/>
        </w:rPr>
        <w:t>•</w:t>
      </w:r>
      <w:r w:rsidRPr="001F3143">
        <w:rPr>
          <w:rFonts w:eastAsia="Arial"/>
          <w:sz w:val="28"/>
          <w:szCs w:val="28"/>
        </w:rPr>
        <w:tab/>
        <w:t>Population size independence. The measure of inequality should not change if the population were to change, ceteris paribus. The Gini is also satisfied with this.</w:t>
      </w:r>
    </w:p>
    <w:p w14:paraId="44F7E001" w14:textId="77777777" w:rsidR="0055295E" w:rsidRPr="001F3143" w:rsidRDefault="0055295E" w:rsidP="0055295E">
      <w:pPr>
        <w:spacing w:line="360" w:lineRule="auto"/>
        <w:jc w:val="both"/>
        <w:rPr>
          <w:rFonts w:eastAsia="Arial"/>
          <w:sz w:val="28"/>
          <w:szCs w:val="28"/>
        </w:rPr>
      </w:pPr>
    </w:p>
    <w:p w14:paraId="74594DD8" w14:textId="77777777" w:rsidR="00C04678" w:rsidRPr="001F3143" w:rsidRDefault="00C04678" w:rsidP="0055295E">
      <w:pPr>
        <w:spacing w:line="360" w:lineRule="auto"/>
        <w:jc w:val="both"/>
        <w:rPr>
          <w:rFonts w:eastAsia="Arial"/>
          <w:sz w:val="28"/>
          <w:szCs w:val="28"/>
        </w:rPr>
      </w:pPr>
      <w:r w:rsidRPr="001F3143">
        <w:rPr>
          <w:rFonts w:eastAsia="Arial"/>
          <w:sz w:val="28"/>
          <w:szCs w:val="28"/>
        </w:rPr>
        <w:t>•</w:t>
      </w:r>
      <w:r w:rsidRPr="001F3143">
        <w:rPr>
          <w:rFonts w:eastAsia="Arial"/>
          <w:sz w:val="28"/>
          <w:szCs w:val="28"/>
        </w:rPr>
        <w:tab/>
        <w:t>Symmetry. If you and I swap income, the measure of inequality should not change. This is what the Gini is satisfying.</w:t>
      </w:r>
    </w:p>
    <w:p w14:paraId="210C3C40" w14:textId="77777777" w:rsidR="00C04678" w:rsidRPr="001F3143" w:rsidRDefault="00C04678" w:rsidP="0055295E">
      <w:pPr>
        <w:spacing w:line="360" w:lineRule="auto"/>
        <w:jc w:val="both"/>
        <w:rPr>
          <w:rFonts w:eastAsia="Arial"/>
          <w:sz w:val="28"/>
          <w:szCs w:val="28"/>
        </w:rPr>
      </w:pPr>
    </w:p>
    <w:p w14:paraId="6D702290" w14:textId="77777777" w:rsidR="00C04678" w:rsidRPr="001F3143" w:rsidRDefault="00C04678" w:rsidP="0055295E">
      <w:pPr>
        <w:spacing w:line="360" w:lineRule="auto"/>
        <w:jc w:val="both"/>
        <w:rPr>
          <w:rFonts w:eastAsia="Arial"/>
          <w:sz w:val="28"/>
          <w:szCs w:val="28"/>
        </w:rPr>
      </w:pPr>
      <w:r w:rsidRPr="001F3143">
        <w:rPr>
          <w:rFonts w:eastAsia="Arial"/>
          <w:sz w:val="28"/>
          <w:szCs w:val="28"/>
        </w:rPr>
        <w:t>•</w:t>
      </w:r>
      <w:r w:rsidRPr="001F3143">
        <w:rPr>
          <w:rFonts w:eastAsia="Arial"/>
          <w:sz w:val="28"/>
          <w:szCs w:val="28"/>
        </w:rPr>
        <w:tab/>
        <w:t>Pigou-Dalton Transfer sensitivity. The transfer of income from the rich to the poor reduces measured inequality under this criterion. The Gini is also satisfied with this.</w:t>
      </w:r>
    </w:p>
    <w:p w14:paraId="01EADAD0" w14:textId="77777777" w:rsidR="00C04678" w:rsidRPr="001F3143" w:rsidRDefault="00C04678" w:rsidP="0055295E">
      <w:pPr>
        <w:spacing w:line="360" w:lineRule="auto"/>
        <w:jc w:val="both"/>
        <w:rPr>
          <w:rFonts w:eastAsia="Arial"/>
          <w:sz w:val="28"/>
          <w:szCs w:val="28"/>
        </w:rPr>
      </w:pPr>
    </w:p>
    <w:p w14:paraId="29D911A4" w14:textId="77777777" w:rsidR="00C04678" w:rsidRPr="001F3143" w:rsidRDefault="00C04678" w:rsidP="0055295E">
      <w:pPr>
        <w:spacing w:line="360" w:lineRule="auto"/>
        <w:jc w:val="both"/>
        <w:rPr>
          <w:rFonts w:eastAsia="Arial"/>
          <w:sz w:val="28"/>
          <w:szCs w:val="28"/>
        </w:rPr>
      </w:pPr>
      <w:r w:rsidRPr="001F3143">
        <w:rPr>
          <w:rFonts w:eastAsia="Arial"/>
          <w:sz w:val="28"/>
          <w:szCs w:val="28"/>
        </w:rPr>
        <w:t>It is also desirable to have</w:t>
      </w:r>
    </w:p>
    <w:p w14:paraId="07867D47" w14:textId="77777777" w:rsidR="00C04678" w:rsidRPr="001F3143" w:rsidRDefault="00C04678" w:rsidP="0055295E">
      <w:pPr>
        <w:spacing w:line="360" w:lineRule="auto"/>
        <w:jc w:val="both"/>
        <w:rPr>
          <w:rFonts w:eastAsia="Arial"/>
          <w:sz w:val="28"/>
          <w:szCs w:val="28"/>
        </w:rPr>
      </w:pPr>
    </w:p>
    <w:p w14:paraId="4D80B5DA" w14:textId="77777777" w:rsidR="00C04678" w:rsidRPr="001F3143" w:rsidRDefault="00C04678" w:rsidP="0055295E">
      <w:pPr>
        <w:spacing w:line="360" w:lineRule="auto"/>
        <w:jc w:val="both"/>
        <w:rPr>
          <w:rFonts w:eastAsia="Arial"/>
          <w:sz w:val="28"/>
          <w:szCs w:val="28"/>
        </w:rPr>
      </w:pPr>
      <w:r w:rsidRPr="001F3143">
        <w:rPr>
          <w:rFonts w:eastAsia="Arial"/>
          <w:sz w:val="28"/>
          <w:szCs w:val="28"/>
        </w:rPr>
        <w:t>•</w:t>
      </w:r>
      <w:r w:rsidRPr="001F3143">
        <w:rPr>
          <w:rFonts w:eastAsia="Arial"/>
          <w:sz w:val="28"/>
          <w:szCs w:val="28"/>
        </w:rPr>
        <w:tab/>
        <w:t>Decomposability. This means that inequality can be broken down by or in other dimensions by population groups or sources of income. The Gini index is not easily decomposable or group-wide additive. That is, society's total Gini is not equal to the sum of its subgroups ' Gini coefficients.</w:t>
      </w:r>
    </w:p>
    <w:p w14:paraId="5DCD5AB7" w14:textId="77777777" w:rsidR="00C04678" w:rsidRPr="001F3143" w:rsidRDefault="00C04678" w:rsidP="0055295E">
      <w:pPr>
        <w:spacing w:line="360" w:lineRule="auto"/>
        <w:jc w:val="both"/>
        <w:rPr>
          <w:rFonts w:eastAsia="Arial"/>
          <w:sz w:val="28"/>
          <w:szCs w:val="28"/>
        </w:rPr>
      </w:pPr>
    </w:p>
    <w:p w14:paraId="2A1DF540" w14:textId="77777777" w:rsidR="00137E41" w:rsidRDefault="00C04678" w:rsidP="0055295E">
      <w:pPr>
        <w:spacing w:line="360" w:lineRule="auto"/>
        <w:jc w:val="both"/>
        <w:rPr>
          <w:rFonts w:eastAsia="Arial"/>
          <w:sz w:val="28"/>
          <w:szCs w:val="28"/>
        </w:rPr>
      </w:pPr>
      <w:r w:rsidRPr="001F3143">
        <w:rPr>
          <w:rFonts w:eastAsia="Arial"/>
          <w:sz w:val="28"/>
          <w:szCs w:val="28"/>
        </w:rPr>
        <w:t>•</w:t>
      </w:r>
      <w:r w:rsidRPr="001F3143">
        <w:rPr>
          <w:rFonts w:eastAsia="Arial"/>
          <w:sz w:val="28"/>
          <w:szCs w:val="28"/>
        </w:rPr>
        <w:tab/>
        <w:t>Statistical testability. One should be able to test the meaning of index changes over time. This is less of an issue than it used to be because usually bootstrap techniques can generate confidence intervals.</w:t>
      </w:r>
    </w:p>
    <w:p w14:paraId="5A5658C3" w14:textId="77777777" w:rsidR="005471DC" w:rsidRDefault="005471DC" w:rsidP="005471DC">
      <w:pPr>
        <w:spacing w:line="360" w:lineRule="auto"/>
        <w:jc w:val="both"/>
        <w:rPr>
          <w:rFonts w:eastAsia="Arial"/>
          <w:sz w:val="28"/>
          <w:szCs w:val="28"/>
        </w:rPr>
      </w:pPr>
    </w:p>
    <w:p w14:paraId="3D9819BD" w14:textId="77777777" w:rsidR="005471DC" w:rsidRDefault="005471DC" w:rsidP="005471DC">
      <w:pPr>
        <w:spacing w:line="360" w:lineRule="auto"/>
        <w:jc w:val="both"/>
        <w:rPr>
          <w:sz w:val="28"/>
          <w:szCs w:val="28"/>
        </w:rPr>
      </w:pPr>
    </w:p>
    <w:p w14:paraId="0F204CE4" w14:textId="77777777" w:rsidR="005471DC" w:rsidRDefault="005471DC" w:rsidP="005471DC">
      <w:pPr>
        <w:spacing w:line="360" w:lineRule="auto"/>
        <w:rPr>
          <w:b/>
          <w:sz w:val="28"/>
          <w:szCs w:val="28"/>
        </w:rPr>
      </w:pPr>
      <w:r w:rsidRPr="005471DC">
        <w:rPr>
          <w:b/>
          <w:sz w:val="28"/>
          <w:szCs w:val="28"/>
        </w:rPr>
        <w:t>Generalized Entropy measures</w:t>
      </w:r>
    </w:p>
    <w:p w14:paraId="65328983" w14:textId="77777777" w:rsidR="005471DC" w:rsidRPr="005471DC" w:rsidRDefault="005471DC" w:rsidP="005471DC">
      <w:pPr>
        <w:spacing w:line="360" w:lineRule="auto"/>
        <w:jc w:val="both"/>
        <w:rPr>
          <w:b/>
          <w:sz w:val="28"/>
          <w:szCs w:val="28"/>
        </w:rPr>
      </w:pPr>
    </w:p>
    <w:p w14:paraId="5ED259C1" w14:textId="77777777" w:rsidR="005471DC" w:rsidRDefault="005471DC" w:rsidP="005471DC">
      <w:pPr>
        <w:spacing w:line="360" w:lineRule="auto"/>
        <w:jc w:val="both"/>
        <w:rPr>
          <w:sz w:val="28"/>
          <w:szCs w:val="28"/>
        </w:rPr>
      </w:pPr>
      <w:r w:rsidRPr="005471DC">
        <w:rPr>
          <w:sz w:val="28"/>
          <w:szCs w:val="28"/>
        </w:rPr>
        <w:t>There are a number of inequality measures that meet all six criteria. The Theil indexes and the mean measure of log deviation are among the most widely used. Both belong to the generalized measures of entropy inequality family. The general formula is given by:</w:t>
      </w:r>
    </w:p>
    <w:p w14:paraId="46CA21EC" w14:textId="77777777" w:rsidR="005471DC" w:rsidRDefault="005471DC" w:rsidP="005471DC">
      <w:pPr>
        <w:spacing w:line="360" w:lineRule="auto"/>
        <w:jc w:val="both"/>
        <w:rPr>
          <w:sz w:val="28"/>
          <w:szCs w:val="28"/>
        </w:rPr>
      </w:pPr>
    </w:p>
    <w:tbl>
      <w:tblPr>
        <w:tblW w:w="8488" w:type="dxa"/>
        <w:tblLayout w:type="fixed"/>
        <w:tblCellMar>
          <w:left w:w="0" w:type="dxa"/>
          <w:right w:w="0" w:type="dxa"/>
        </w:tblCellMar>
        <w:tblLook w:val="0000" w:firstRow="0" w:lastRow="0" w:firstColumn="0" w:lastColumn="0" w:noHBand="0" w:noVBand="0"/>
      </w:tblPr>
      <w:tblGrid>
        <w:gridCol w:w="2016"/>
        <w:gridCol w:w="2656"/>
        <w:gridCol w:w="62"/>
        <w:gridCol w:w="1190"/>
        <w:gridCol w:w="244"/>
        <w:gridCol w:w="336"/>
        <w:gridCol w:w="428"/>
        <w:gridCol w:w="244"/>
        <w:gridCol w:w="274"/>
        <w:gridCol w:w="62"/>
        <w:gridCol w:w="396"/>
        <w:gridCol w:w="580"/>
      </w:tblGrid>
      <w:tr w:rsidR="005471DC" w14:paraId="4E73AF66" w14:textId="77777777" w:rsidTr="004D2838">
        <w:trPr>
          <w:trHeight w:val="488"/>
        </w:trPr>
        <w:tc>
          <w:tcPr>
            <w:tcW w:w="2016" w:type="dxa"/>
            <w:shd w:val="clear" w:color="auto" w:fill="auto"/>
            <w:vAlign w:val="bottom"/>
          </w:tcPr>
          <w:p w14:paraId="53842849" w14:textId="77777777" w:rsidR="005471DC" w:rsidRDefault="005471DC" w:rsidP="008865CA">
            <w:pPr>
              <w:spacing w:line="0" w:lineRule="atLeast"/>
            </w:pPr>
          </w:p>
        </w:tc>
        <w:tc>
          <w:tcPr>
            <w:tcW w:w="2656" w:type="dxa"/>
            <w:shd w:val="clear" w:color="auto" w:fill="auto"/>
            <w:vAlign w:val="bottom"/>
          </w:tcPr>
          <w:p w14:paraId="100A5249" w14:textId="77777777" w:rsidR="005471DC" w:rsidRDefault="005471DC" w:rsidP="008865CA">
            <w:pPr>
              <w:spacing w:line="0" w:lineRule="atLeast"/>
            </w:pPr>
          </w:p>
        </w:tc>
        <w:tc>
          <w:tcPr>
            <w:tcW w:w="1252" w:type="dxa"/>
            <w:gridSpan w:val="2"/>
            <w:vMerge w:val="restart"/>
            <w:shd w:val="clear" w:color="auto" w:fill="auto"/>
            <w:vAlign w:val="bottom"/>
          </w:tcPr>
          <w:p w14:paraId="77038538" w14:textId="77777777" w:rsidR="005471DC" w:rsidRDefault="005471DC" w:rsidP="008865CA">
            <w:pPr>
              <w:spacing w:line="0" w:lineRule="atLeast"/>
              <w:ind w:right="340"/>
              <w:jc w:val="right"/>
            </w:pPr>
            <w:r>
              <w:t>1</w:t>
            </w:r>
          </w:p>
        </w:tc>
        <w:tc>
          <w:tcPr>
            <w:tcW w:w="244" w:type="dxa"/>
            <w:shd w:val="clear" w:color="auto" w:fill="auto"/>
            <w:vAlign w:val="bottom"/>
          </w:tcPr>
          <w:p w14:paraId="5D1AB937" w14:textId="77777777" w:rsidR="005471DC" w:rsidRDefault="005471DC" w:rsidP="008865CA">
            <w:pPr>
              <w:spacing w:line="0" w:lineRule="atLeast"/>
            </w:pPr>
          </w:p>
        </w:tc>
        <w:tc>
          <w:tcPr>
            <w:tcW w:w="336" w:type="dxa"/>
            <w:vMerge w:val="restart"/>
            <w:shd w:val="clear" w:color="auto" w:fill="auto"/>
            <w:vAlign w:val="bottom"/>
          </w:tcPr>
          <w:p w14:paraId="65406731" w14:textId="77777777" w:rsidR="005471DC" w:rsidRDefault="005471DC" w:rsidP="008865CA">
            <w:pPr>
              <w:spacing w:line="0" w:lineRule="atLeast"/>
              <w:jc w:val="right"/>
            </w:pPr>
            <w:r>
              <w:t>1</w:t>
            </w:r>
          </w:p>
        </w:tc>
        <w:tc>
          <w:tcPr>
            <w:tcW w:w="428" w:type="dxa"/>
            <w:shd w:val="clear" w:color="auto" w:fill="auto"/>
            <w:vAlign w:val="bottom"/>
          </w:tcPr>
          <w:p w14:paraId="72C3B86F" w14:textId="77777777" w:rsidR="005471DC" w:rsidRDefault="005471DC" w:rsidP="008865CA">
            <w:pPr>
              <w:spacing w:line="0" w:lineRule="atLeast"/>
              <w:ind w:left="120"/>
              <w:rPr>
                <w:i/>
                <w:sz w:val="14"/>
              </w:rPr>
            </w:pPr>
            <w:r>
              <w:rPr>
                <w:i/>
                <w:sz w:val="14"/>
              </w:rPr>
              <w:t>N</w:t>
            </w:r>
          </w:p>
        </w:tc>
        <w:tc>
          <w:tcPr>
            <w:tcW w:w="244" w:type="dxa"/>
            <w:shd w:val="clear" w:color="auto" w:fill="auto"/>
            <w:vAlign w:val="bottom"/>
          </w:tcPr>
          <w:p w14:paraId="59878145" w14:textId="77777777" w:rsidR="005471DC" w:rsidRDefault="005471DC" w:rsidP="008865CA">
            <w:pPr>
              <w:spacing w:line="0" w:lineRule="atLeast"/>
            </w:pPr>
          </w:p>
        </w:tc>
        <w:tc>
          <w:tcPr>
            <w:tcW w:w="336" w:type="dxa"/>
            <w:gridSpan w:val="2"/>
            <w:vMerge w:val="restart"/>
            <w:shd w:val="clear" w:color="auto" w:fill="auto"/>
            <w:vAlign w:val="bottom"/>
          </w:tcPr>
          <w:p w14:paraId="3E771327" w14:textId="77777777" w:rsidR="005471DC" w:rsidRDefault="005471DC" w:rsidP="008865CA">
            <w:pPr>
              <w:spacing w:line="0" w:lineRule="atLeast"/>
              <w:ind w:left="40"/>
              <w:rPr>
                <w:i/>
                <w:w w:val="89"/>
                <w:sz w:val="14"/>
              </w:rPr>
            </w:pPr>
            <w:r>
              <w:rPr>
                <w:i/>
                <w:w w:val="89"/>
                <w:sz w:val="47"/>
                <w:vertAlign w:val="superscript"/>
              </w:rPr>
              <w:t>y</w:t>
            </w:r>
            <w:r>
              <w:rPr>
                <w:i/>
                <w:w w:val="89"/>
                <w:sz w:val="14"/>
              </w:rPr>
              <w:t>i</w:t>
            </w:r>
          </w:p>
        </w:tc>
        <w:tc>
          <w:tcPr>
            <w:tcW w:w="396" w:type="dxa"/>
            <w:shd w:val="clear" w:color="auto" w:fill="auto"/>
            <w:vAlign w:val="bottom"/>
          </w:tcPr>
          <w:p w14:paraId="792685E6" w14:textId="77777777" w:rsidR="005471DC" w:rsidRDefault="005471DC" w:rsidP="008865CA">
            <w:pPr>
              <w:spacing w:line="0" w:lineRule="atLeast"/>
              <w:ind w:left="40"/>
              <w:rPr>
                <w:rFonts w:ascii="Arial" w:eastAsia="Arial" w:hAnsi="Arial"/>
                <w:i/>
                <w:sz w:val="28"/>
                <w:vertAlign w:val="superscript"/>
              </w:rPr>
            </w:pPr>
            <w:r>
              <w:rPr>
                <w:rFonts w:ascii="Arial" w:eastAsia="Arial" w:hAnsi="Arial"/>
                <w:i/>
                <w:sz w:val="28"/>
                <w:vertAlign w:val="superscript"/>
              </w:rPr>
              <w:t>α</w:t>
            </w:r>
          </w:p>
        </w:tc>
        <w:tc>
          <w:tcPr>
            <w:tcW w:w="580" w:type="dxa"/>
            <w:shd w:val="clear" w:color="auto" w:fill="auto"/>
            <w:vAlign w:val="bottom"/>
          </w:tcPr>
          <w:p w14:paraId="55EBB460" w14:textId="77777777" w:rsidR="005471DC" w:rsidRDefault="005471DC" w:rsidP="008865CA">
            <w:pPr>
              <w:spacing w:line="0" w:lineRule="atLeast"/>
            </w:pPr>
          </w:p>
        </w:tc>
      </w:tr>
      <w:tr w:rsidR="005471DC" w14:paraId="0C96101A" w14:textId="77777777" w:rsidTr="004D2838">
        <w:trPr>
          <w:trHeight w:val="178"/>
        </w:trPr>
        <w:tc>
          <w:tcPr>
            <w:tcW w:w="2016" w:type="dxa"/>
            <w:vMerge w:val="restart"/>
            <w:shd w:val="clear" w:color="auto" w:fill="auto"/>
            <w:vAlign w:val="bottom"/>
          </w:tcPr>
          <w:p w14:paraId="471CC4CE" w14:textId="77777777" w:rsidR="005471DC" w:rsidRDefault="004D2838" w:rsidP="008865CA">
            <w:pPr>
              <w:spacing w:line="158" w:lineRule="exact"/>
              <w:ind w:right="770"/>
              <w:jc w:val="right"/>
              <w:rPr>
                <w:b/>
                <w:sz w:val="18"/>
              </w:rPr>
            </w:pPr>
            <w:r>
              <w:rPr>
                <w:b/>
                <w:sz w:val="18"/>
              </w:rPr>
              <w:t>(1.</w:t>
            </w:r>
            <w:r w:rsidR="005471DC">
              <w:rPr>
                <w:b/>
                <w:sz w:val="18"/>
              </w:rPr>
              <w:t>3)</w:t>
            </w:r>
          </w:p>
        </w:tc>
        <w:tc>
          <w:tcPr>
            <w:tcW w:w="2656" w:type="dxa"/>
            <w:vMerge w:val="restart"/>
            <w:shd w:val="clear" w:color="auto" w:fill="auto"/>
            <w:vAlign w:val="bottom"/>
          </w:tcPr>
          <w:p w14:paraId="35B6EA21" w14:textId="77777777" w:rsidR="005471DC" w:rsidRDefault="005471DC" w:rsidP="008865CA">
            <w:pPr>
              <w:spacing w:line="158" w:lineRule="exact"/>
              <w:ind w:left="860"/>
              <w:rPr>
                <w:rFonts w:ascii="Arial" w:eastAsia="Arial" w:hAnsi="Arial"/>
                <w:sz w:val="17"/>
              </w:rPr>
            </w:pPr>
            <w:r>
              <w:rPr>
                <w:i/>
                <w:sz w:val="17"/>
              </w:rPr>
              <w:t>GE</w:t>
            </w:r>
            <w:r>
              <w:rPr>
                <w:sz w:val="17"/>
              </w:rPr>
              <w:t>(</w:t>
            </w:r>
            <w:r>
              <w:rPr>
                <w:rFonts w:ascii="Arial" w:eastAsia="Arial" w:hAnsi="Arial"/>
                <w:i/>
                <w:sz w:val="17"/>
              </w:rPr>
              <w:t>α</w:t>
            </w:r>
            <w:r>
              <w:rPr>
                <w:i/>
                <w:sz w:val="17"/>
              </w:rPr>
              <w:t xml:space="preserve"> </w:t>
            </w:r>
            <w:r>
              <w:rPr>
                <w:sz w:val="17"/>
              </w:rPr>
              <w:t>)</w:t>
            </w:r>
            <w:r>
              <w:rPr>
                <w:i/>
                <w:sz w:val="17"/>
              </w:rPr>
              <w:t xml:space="preserve"> </w:t>
            </w:r>
            <w:r>
              <w:rPr>
                <w:rFonts w:ascii="Arial" w:eastAsia="Arial" w:hAnsi="Arial"/>
                <w:sz w:val="17"/>
              </w:rPr>
              <w:t>=</w:t>
            </w:r>
          </w:p>
        </w:tc>
        <w:tc>
          <w:tcPr>
            <w:tcW w:w="1252" w:type="dxa"/>
            <w:gridSpan w:val="2"/>
            <w:vMerge/>
            <w:shd w:val="clear" w:color="auto" w:fill="auto"/>
            <w:vAlign w:val="bottom"/>
          </w:tcPr>
          <w:p w14:paraId="4540BEEB" w14:textId="77777777" w:rsidR="005471DC" w:rsidRDefault="005471DC" w:rsidP="008865CA">
            <w:pPr>
              <w:spacing w:line="0" w:lineRule="atLeast"/>
              <w:rPr>
                <w:sz w:val="8"/>
              </w:rPr>
            </w:pPr>
          </w:p>
        </w:tc>
        <w:tc>
          <w:tcPr>
            <w:tcW w:w="244" w:type="dxa"/>
            <w:vMerge w:val="restart"/>
            <w:shd w:val="clear" w:color="auto" w:fill="auto"/>
            <w:vAlign w:val="bottom"/>
          </w:tcPr>
          <w:p w14:paraId="5FE9096C" w14:textId="77777777" w:rsidR="005471DC" w:rsidRDefault="005471DC" w:rsidP="008865CA">
            <w:pPr>
              <w:spacing w:line="0" w:lineRule="atLeast"/>
              <w:rPr>
                <w:sz w:val="8"/>
              </w:rPr>
            </w:pPr>
          </w:p>
        </w:tc>
        <w:tc>
          <w:tcPr>
            <w:tcW w:w="336" w:type="dxa"/>
            <w:vMerge/>
            <w:shd w:val="clear" w:color="auto" w:fill="auto"/>
            <w:vAlign w:val="bottom"/>
          </w:tcPr>
          <w:p w14:paraId="0A1B5C17" w14:textId="77777777" w:rsidR="005471DC" w:rsidRDefault="005471DC" w:rsidP="008865CA">
            <w:pPr>
              <w:spacing w:line="0" w:lineRule="atLeast"/>
              <w:rPr>
                <w:sz w:val="8"/>
              </w:rPr>
            </w:pPr>
          </w:p>
        </w:tc>
        <w:tc>
          <w:tcPr>
            <w:tcW w:w="672" w:type="dxa"/>
            <w:gridSpan w:val="2"/>
            <w:vMerge w:val="restart"/>
            <w:shd w:val="clear" w:color="auto" w:fill="auto"/>
            <w:vAlign w:val="bottom"/>
          </w:tcPr>
          <w:p w14:paraId="56A88864" w14:textId="77777777" w:rsidR="005471DC" w:rsidRDefault="005471DC" w:rsidP="008865CA">
            <w:pPr>
              <w:spacing w:line="158" w:lineRule="exact"/>
              <w:ind w:right="40"/>
              <w:jc w:val="right"/>
              <w:rPr>
                <w:rFonts w:ascii="Arial" w:eastAsia="Arial" w:hAnsi="Arial"/>
                <w:sz w:val="18"/>
              </w:rPr>
            </w:pPr>
            <w:r>
              <w:rPr>
                <w:rFonts w:ascii="Arial" w:eastAsia="Arial" w:hAnsi="Arial"/>
                <w:sz w:val="18"/>
              </w:rPr>
              <w:t>∑</w:t>
            </w:r>
          </w:p>
        </w:tc>
        <w:tc>
          <w:tcPr>
            <w:tcW w:w="336" w:type="dxa"/>
            <w:gridSpan w:val="2"/>
            <w:vMerge/>
            <w:shd w:val="clear" w:color="auto" w:fill="auto"/>
            <w:vAlign w:val="bottom"/>
          </w:tcPr>
          <w:p w14:paraId="1A853A59" w14:textId="77777777" w:rsidR="005471DC" w:rsidRDefault="005471DC" w:rsidP="008865CA">
            <w:pPr>
              <w:spacing w:line="0" w:lineRule="atLeast"/>
              <w:rPr>
                <w:sz w:val="8"/>
              </w:rPr>
            </w:pPr>
          </w:p>
        </w:tc>
        <w:tc>
          <w:tcPr>
            <w:tcW w:w="396" w:type="dxa"/>
            <w:vMerge w:val="restart"/>
            <w:shd w:val="clear" w:color="auto" w:fill="auto"/>
            <w:vAlign w:val="bottom"/>
          </w:tcPr>
          <w:p w14:paraId="041C2FE4" w14:textId="77777777" w:rsidR="005471DC" w:rsidRDefault="005471DC" w:rsidP="008865CA">
            <w:pPr>
              <w:spacing w:line="0" w:lineRule="atLeast"/>
              <w:rPr>
                <w:sz w:val="8"/>
              </w:rPr>
            </w:pPr>
          </w:p>
        </w:tc>
        <w:tc>
          <w:tcPr>
            <w:tcW w:w="580" w:type="dxa"/>
            <w:vMerge w:val="restart"/>
            <w:shd w:val="clear" w:color="auto" w:fill="auto"/>
            <w:vAlign w:val="bottom"/>
          </w:tcPr>
          <w:p w14:paraId="48660336" w14:textId="77777777" w:rsidR="005471DC" w:rsidRDefault="005471DC" w:rsidP="008865CA">
            <w:pPr>
              <w:spacing w:line="158" w:lineRule="exact"/>
              <w:jc w:val="right"/>
              <w:rPr>
                <w:sz w:val="17"/>
              </w:rPr>
            </w:pPr>
            <w:r>
              <w:rPr>
                <w:rFonts w:ascii="Arial" w:eastAsia="Arial" w:hAnsi="Arial"/>
                <w:sz w:val="17"/>
              </w:rPr>
              <w:t>−</w:t>
            </w:r>
            <w:r>
              <w:rPr>
                <w:sz w:val="17"/>
              </w:rPr>
              <w:t>1</w:t>
            </w:r>
          </w:p>
        </w:tc>
      </w:tr>
      <w:tr w:rsidR="005471DC" w14:paraId="2CF8A955" w14:textId="77777777" w:rsidTr="004D2838">
        <w:trPr>
          <w:trHeight w:val="48"/>
        </w:trPr>
        <w:tc>
          <w:tcPr>
            <w:tcW w:w="2016" w:type="dxa"/>
            <w:vMerge/>
            <w:shd w:val="clear" w:color="auto" w:fill="auto"/>
            <w:vAlign w:val="bottom"/>
          </w:tcPr>
          <w:p w14:paraId="73F474FB" w14:textId="77777777" w:rsidR="005471DC" w:rsidRDefault="005471DC" w:rsidP="008865CA">
            <w:pPr>
              <w:spacing w:line="0" w:lineRule="atLeast"/>
              <w:rPr>
                <w:sz w:val="3"/>
              </w:rPr>
            </w:pPr>
          </w:p>
        </w:tc>
        <w:tc>
          <w:tcPr>
            <w:tcW w:w="2656" w:type="dxa"/>
            <w:vMerge/>
            <w:shd w:val="clear" w:color="auto" w:fill="auto"/>
            <w:vAlign w:val="bottom"/>
          </w:tcPr>
          <w:p w14:paraId="0438C297" w14:textId="77777777" w:rsidR="005471DC" w:rsidRDefault="005471DC" w:rsidP="008865CA">
            <w:pPr>
              <w:spacing w:line="0" w:lineRule="atLeast"/>
              <w:rPr>
                <w:sz w:val="3"/>
              </w:rPr>
            </w:pPr>
          </w:p>
        </w:tc>
        <w:tc>
          <w:tcPr>
            <w:tcW w:w="62" w:type="dxa"/>
            <w:shd w:val="clear" w:color="auto" w:fill="auto"/>
            <w:vAlign w:val="bottom"/>
          </w:tcPr>
          <w:p w14:paraId="108DC2A5" w14:textId="77777777" w:rsidR="005471DC" w:rsidRDefault="005471DC" w:rsidP="008865CA">
            <w:pPr>
              <w:spacing w:line="0" w:lineRule="atLeast"/>
              <w:rPr>
                <w:sz w:val="3"/>
              </w:rPr>
            </w:pPr>
          </w:p>
        </w:tc>
        <w:tc>
          <w:tcPr>
            <w:tcW w:w="1190" w:type="dxa"/>
            <w:tcBorders>
              <w:top w:val="single" w:sz="8" w:space="0" w:color="auto"/>
            </w:tcBorders>
            <w:shd w:val="clear" w:color="auto" w:fill="auto"/>
            <w:vAlign w:val="bottom"/>
          </w:tcPr>
          <w:p w14:paraId="2970F8BA" w14:textId="77777777" w:rsidR="005471DC" w:rsidRDefault="005471DC" w:rsidP="008865CA">
            <w:pPr>
              <w:spacing w:line="0" w:lineRule="atLeast"/>
              <w:rPr>
                <w:sz w:val="3"/>
              </w:rPr>
            </w:pPr>
          </w:p>
        </w:tc>
        <w:tc>
          <w:tcPr>
            <w:tcW w:w="244" w:type="dxa"/>
            <w:vMerge/>
            <w:shd w:val="clear" w:color="auto" w:fill="auto"/>
            <w:vAlign w:val="bottom"/>
          </w:tcPr>
          <w:p w14:paraId="6E02C7AB" w14:textId="77777777" w:rsidR="005471DC" w:rsidRDefault="005471DC" w:rsidP="008865CA">
            <w:pPr>
              <w:spacing w:line="0" w:lineRule="atLeast"/>
              <w:rPr>
                <w:sz w:val="3"/>
              </w:rPr>
            </w:pPr>
          </w:p>
        </w:tc>
        <w:tc>
          <w:tcPr>
            <w:tcW w:w="336" w:type="dxa"/>
            <w:tcBorders>
              <w:top w:val="single" w:sz="8" w:space="0" w:color="auto"/>
            </w:tcBorders>
            <w:shd w:val="clear" w:color="auto" w:fill="auto"/>
            <w:vAlign w:val="bottom"/>
          </w:tcPr>
          <w:p w14:paraId="7BB2CBA0" w14:textId="77777777" w:rsidR="005471DC" w:rsidRDefault="005471DC" w:rsidP="008865CA">
            <w:pPr>
              <w:spacing w:line="0" w:lineRule="atLeast"/>
              <w:rPr>
                <w:sz w:val="3"/>
              </w:rPr>
            </w:pPr>
          </w:p>
        </w:tc>
        <w:tc>
          <w:tcPr>
            <w:tcW w:w="672" w:type="dxa"/>
            <w:gridSpan w:val="2"/>
            <w:vMerge/>
            <w:shd w:val="clear" w:color="auto" w:fill="auto"/>
            <w:vAlign w:val="bottom"/>
          </w:tcPr>
          <w:p w14:paraId="153AB788" w14:textId="77777777" w:rsidR="005471DC" w:rsidRDefault="005471DC" w:rsidP="008865CA">
            <w:pPr>
              <w:spacing w:line="0" w:lineRule="atLeast"/>
              <w:rPr>
                <w:sz w:val="3"/>
              </w:rPr>
            </w:pPr>
          </w:p>
        </w:tc>
        <w:tc>
          <w:tcPr>
            <w:tcW w:w="274" w:type="dxa"/>
            <w:tcBorders>
              <w:top w:val="single" w:sz="8" w:space="0" w:color="auto"/>
            </w:tcBorders>
            <w:shd w:val="clear" w:color="auto" w:fill="auto"/>
            <w:vAlign w:val="bottom"/>
          </w:tcPr>
          <w:p w14:paraId="089FA05F" w14:textId="77777777" w:rsidR="005471DC" w:rsidRDefault="005471DC" w:rsidP="008865CA">
            <w:pPr>
              <w:spacing w:line="0" w:lineRule="atLeast"/>
              <w:rPr>
                <w:sz w:val="3"/>
              </w:rPr>
            </w:pPr>
          </w:p>
        </w:tc>
        <w:tc>
          <w:tcPr>
            <w:tcW w:w="62" w:type="dxa"/>
            <w:tcBorders>
              <w:top w:val="single" w:sz="8" w:space="0" w:color="auto"/>
            </w:tcBorders>
            <w:shd w:val="clear" w:color="auto" w:fill="auto"/>
            <w:vAlign w:val="bottom"/>
          </w:tcPr>
          <w:p w14:paraId="6ED80652" w14:textId="77777777" w:rsidR="005471DC" w:rsidRDefault="005471DC" w:rsidP="008865CA">
            <w:pPr>
              <w:spacing w:line="0" w:lineRule="atLeast"/>
              <w:rPr>
                <w:sz w:val="3"/>
              </w:rPr>
            </w:pPr>
          </w:p>
        </w:tc>
        <w:tc>
          <w:tcPr>
            <w:tcW w:w="396" w:type="dxa"/>
            <w:vMerge/>
            <w:shd w:val="clear" w:color="auto" w:fill="auto"/>
            <w:vAlign w:val="bottom"/>
          </w:tcPr>
          <w:p w14:paraId="70775F43" w14:textId="77777777" w:rsidR="005471DC" w:rsidRDefault="005471DC" w:rsidP="008865CA">
            <w:pPr>
              <w:spacing w:line="0" w:lineRule="atLeast"/>
              <w:rPr>
                <w:sz w:val="3"/>
              </w:rPr>
            </w:pPr>
          </w:p>
        </w:tc>
        <w:tc>
          <w:tcPr>
            <w:tcW w:w="580" w:type="dxa"/>
            <w:vMerge/>
            <w:shd w:val="clear" w:color="auto" w:fill="auto"/>
            <w:vAlign w:val="bottom"/>
          </w:tcPr>
          <w:p w14:paraId="2E8E87B3" w14:textId="77777777" w:rsidR="005471DC" w:rsidRDefault="005471DC" w:rsidP="008865CA">
            <w:pPr>
              <w:spacing w:line="0" w:lineRule="atLeast"/>
              <w:rPr>
                <w:sz w:val="3"/>
              </w:rPr>
            </w:pPr>
          </w:p>
        </w:tc>
      </w:tr>
      <w:tr w:rsidR="005471DC" w14:paraId="65D5CF36" w14:textId="77777777" w:rsidTr="004D2838">
        <w:trPr>
          <w:trHeight w:val="250"/>
        </w:trPr>
        <w:tc>
          <w:tcPr>
            <w:tcW w:w="2016" w:type="dxa"/>
            <w:shd w:val="clear" w:color="auto" w:fill="auto"/>
            <w:vAlign w:val="bottom"/>
          </w:tcPr>
          <w:p w14:paraId="5A84EA68" w14:textId="77777777" w:rsidR="005471DC" w:rsidRDefault="005471DC" w:rsidP="008865CA">
            <w:pPr>
              <w:spacing w:line="0" w:lineRule="atLeast"/>
            </w:pPr>
          </w:p>
        </w:tc>
        <w:tc>
          <w:tcPr>
            <w:tcW w:w="2656" w:type="dxa"/>
            <w:shd w:val="clear" w:color="auto" w:fill="auto"/>
            <w:vAlign w:val="bottom"/>
          </w:tcPr>
          <w:p w14:paraId="38219164" w14:textId="77777777" w:rsidR="005471DC" w:rsidRDefault="005471DC" w:rsidP="008865CA">
            <w:pPr>
              <w:spacing w:line="0" w:lineRule="atLeast"/>
            </w:pPr>
          </w:p>
        </w:tc>
        <w:tc>
          <w:tcPr>
            <w:tcW w:w="1252" w:type="dxa"/>
            <w:gridSpan w:val="2"/>
            <w:shd w:val="clear" w:color="auto" w:fill="auto"/>
            <w:vAlign w:val="bottom"/>
          </w:tcPr>
          <w:p w14:paraId="7AD37B99" w14:textId="77777777" w:rsidR="005471DC" w:rsidRDefault="005471DC" w:rsidP="008865CA">
            <w:pPr>
              <w:spacing w:line="238" w:lineRule="exact"/>
              <w:jc w:val="center"/>
              <w:rPr>
                <w:w w:val="96"/>
              </w:rPr>
            </w:pPr>
            <w:r>
              <w:rPr>
                <w:rFonts w:ascii="Arial" w:eastAsia="Arial" w:hAnsi="Arial"/>
                <w:i/>
                <w:w w:val="96"/>
              </w:rPr>
              <w:t xml:space="preserve">α </w:t>
            </w:r>
            <w:r>
              <w:rPr>
                <w:w w:val="96"/>
              </w:rPr>
              <w:t>(</w:t>
            </w:r>
            <w:r>
              <w:rPr>
                <w:rFonts w:ascii="Arial" w:eastAsia="Arial" w:hAnsi="Arial"/>
                <w:i/>
                <w:w w:val="96"/>
              </w:rPr>
              <w:t xml:space="preserve">α </w:t>
            </w:r>
            <w:r>
              <w:rPr>
                <w:rFonts w:ascii="Arial" w:eastAsia="Arial" w:hAnsi="Arial"/>
                <w:w w:val="96"/>
              </w:rPr>
              <w:t>−</w:t>
            </w:r>
            <w:r>
              <w:rPr>
                <w:w w:val="96"/>
              </w:rPr>
              <w:t>1)</w:t>
            </w:r>
          </w:p>
        </w:tc>
        <w:tc>
          <w:tcPr>
            <w:tcW w:w="1008" w:type="dxa"/>
            <w:gridSpan w:val="3"/>
            <w:shd w:val="clear" w:color="auto" w:fill="auto"/>
            <w:vAlign w:val="bottom"/>
          </w:tcPr>
          <w:p w14:paraId="1E39875B" w14:textId="77777777" w:rsidR="005471DC" w:rsidRDefault="005471DC" w:rsidP="008865CA">
            <w:pPr>
              <w:spacing w:line="239" w:lineRule="exact"/>
              <w:ind w:left="40"/>
              <w:rPr>
                <w:sz w:val="13"/>
              </w:rPr>
            </w:pPr>
            <w:r>
              <w:rPr>
                <w:i/>
              </w:rPr>
              <w:t xml:space="preserve">N </w:t>
            </w:r>
            <w:r>
              <w:rPr>
                <w:i/>
                <w:sz w:val="13"/>
              </w:rPr>
              <w:t>i</w:t>
            </w:r>
            <w:r>
              <w:rPr>
                <w:rFonts w:ascii="Arial" w:eastAsia="Arial" w:hAnsi="Arial"/>
                <w:sz w:val="13"/>
              </w:rPr>
              <w:t>=</w:t>
            </w:r>
            <w:r>
              <w:rPr>
                <w:sz w:val="13"/>
              </w:rPr>
              <w:t>1</w:t>
            </w:r>
          </w:p>
        </w:tc>
        <w:tc>
          <w:tcPr>
            <w:tcW w:w="244" w:type="dxa"/>
            <w:shd w:val="clear" w:color="auto" w:fill="auto"/>
            <w:vAlign w:val="bottom"/>
          </w:tcPr>
          <w:p w14:paraId="200A81C1" w14:textId="77777777" w:rsidR="005471DC" w:rsidRDefault="005471DC" w:rsidP="008865CA">
            <w:pPr>
              <w:spacing w:line="0" w:lineRule="atLeast"/>
            </w:pPr>
          </w:p>
        </w:tc>
        <w:tc>
          <w:tcPr>
            <w:tcW w:w="274" w:type="dxa"/>
            <w:shd w:val="clear" w:color="auto" w:fill="auto"/>
            <w:vAlign w:val="bottom"/>
          </w:tcPr>
          <w:p w14:paraId="4E209ED5" w14:textId="77777777" w:rsidR="005471DC" w:rsidRDefault="005471DC" w:rsidP="008865CA">
            <w:pPr>
              <w:spacing w:line="239" w:lineRule="exact"/>
              <w:ind w:left="60"/>
              <w:rPr>
                <w:i/>
                <w:strike/>
                <w:w w:val="93"/>
              </w:rPr>
            </w:pPr>
            <w:r>
              <w:rPr>
                <w:i/>
                <w:strike/>
                <w:w w:val="93"/>
              </w:rPr>
              <w:t>y</w:t>
            </w:r>
          </w:p>
        </w:tc>
        <w:tc>
          <w:tcPr>
            <w:tcW w:w="458" w:type="dxa"/>
            <w:gridSpan w:val="2"/>
            <w:shd w:val="clear" w:color="auto" w:fill="auto"/>
            <w:vAlign w:val="bottom"/>
          </w:tcPr>
          <w:p w14:paraId="547A236D" w14:textId="77777777" w:rsidR="005471DC" w:rsidRDefault="005471DC" w:rsidP="008865CA">
            <w:pPr>
              <w:spacing w:line="0" w:lineRule="atLeast"/>
            </w:pPr>
          </w:p>
        </w:tc>
        <w:tc>
          <w:tcPr>
            <w:tcW w:w="580" w:type="dxa"/>
            <w:shd w:val="clear" w:color="auto" w:fill="auto"/>
            <w:vAlign w:val="bottom"/>
          </w:tcPr>
          <w:p w14:paraId="6CADE277" w14:textId="77777777" w:rsidR="005471DC" w:rsidRDefault="005471DC" w:rsidP="008865CA">
            <w:pPr>
              <w:spacing w:line="0" w:lineRule="atLeast"/>
            </w:pPr>
          </w:p>
        </w:tc>
      </w:tr>
      <w:tr w:rsidR="004D2838" w14:paraId="63ACB5ED" w14:textId="77777777" w:rsidTr="004D2838">
        <w:trPr>
          <w:trHeight w:val="306"/>
        </w:trPr>
        <w:tc>
          <w:tcPr>
            <w:tcW w:w="2016" w:type="dxa"/>
            <w:shd w:val="clear" w:color="auto" w:fill="auto"/>
            <w:vAlign w:val="bottom"/>
          </w:tcPr>
          <w:p w14:paraId="567B3EAE" w14:textId="77777777" w:rsidR="005471DC" w:rsidRDefault="005471DC" w:rsidP="008865CA">
            <w:pPr>
              <w:spacing w:line="0" w:lineRule="atLeast"/>
            </w:pPr>
          </w:p>
        </w:tc>
        <w:tc>
          <w:tcPr>
            <w:tcW w:w="2656" w:type="dxa"/>
            <w:shd w:val="clear" w:color="auto" w:fill="auto"/>
            <w:vAlign w:val="bottom"/>
          </w:tcPr>
          <w:p w14:paraId="512080E9" w14:textId="77777777" w:rsidR="005471DC" w:rsidRDefault="005471DC" w:rsidP="008865CA">
            <w:pPr>
              <w:spacing w:line="0" w:lineRule="atLeast"/>
            </w:pPr>
          </w:p>
        </w:tc>
        <w:tc>
          <w:tcPr>
            <w:tcW w:w="62" w:type="dxa"/>
            <w:shd w:val="clear" w:color="auto" w:fill="auto"/>
            <w:vAlign w:val="bottom"/>
          </w:tcPr>
          <w:p w14:paraId="66FE5378" w14:textId="77777777" w:rsidR="005471DC" w:rsidRDefault="005471DC" w:rsidP="008865CA">
            <w:pPr>
              <w:spacing w:line="0" w:lineRule="atLeast"/>
            </w:pPr>
          </w:p>
        </w:tc>
        <w:tc>
          <w:tcPr>
            <w:tcW w:w="1190" w:type="dxa"/>
            <w:shd w:val="clear" w:color="auto" w:fill="auto"/>
            <w:vAlign w:val="bottom"/>
          </w:tcPr>
          <w:p w14:paraId="45D500DA" w14:textId="77777777" w:rsidR="005471DC" w:rsidRDefault="005471DC" w:rsidP="008865CA">
            <w:pPr>
              <w:spacing w:line="0" w:lineRule="atLeast"/>
            </w:pPr>
          </w:p>
        </w:tc>
        <w:tc>
          <w:tcPr>
            <w:tcW w:w="244" w:type="dxa"/>
            <w:shd w:val="clear" w:color="auto" w:fill="auto"/>
            <w:vAlign w:val="bottom"/>
          </w:tcPr>
          <w:p w14:paraId="178E985E" w14:textId="77777777" w:rsidR="005471DC" w:rsidRDefault="005471DC" w:rsidP="008865CA">
            <w:pPr>
              <w:spacing w:line="0" w:lineRule="atLeast"/>
            </w:pPr>
          </w:p>
        </w:tc>
        <w:tc>
          <w:tcPr>
            <w:tcW w:w="336" w:type="dxa"/>
            <w:shd w:val="clear" w:color="auto" w:fill="auto"/>
            <w:vAlign w:val="bottom"/>
          </w:tcPr>
          <w:p w14:paraId="54781A93" w14:textId="77777777" w:rsidR="005471DC" w:rsidRDefault="005471DC" w:rsidP="008865CA">
            <w:pPr>
              <w:spacing w:line="0" w:lineRule="atLeast"/>
            </w:pPr>
          </w:p>
        </w:tc>
        <w:tc>
          <w:tcPr>
            <w:tcW w:w="428" w:type="dxa"/>
            <w:shd w:val="clear" w:color="auto" w:fill="auto"/>
            <w:vAlign w:val="bottom"/>
          </w:tcPr>
          <w:p w14:paraId="1EA05DBC" w14:textId="77777777" w:rsidR="005471DC" w:rsidRDefault="005471DC" w:rsidP="008865CA">
            <w:pPr>
              <w:spacing w:line="0" w:lineRule="atLeast"/>
            </w:pPr>
          </w:p>
        </w:tc>
        <w:tc>
          <w:tcPr>
            <w:tcW w:w="244" w:type="dxa"/>
            <w:shd w:val="clear" w:color="auto" w:fill="auto"/>
            <w:vAlign w:val="bottom"/>
          </w:tcPr>
          <w:p w14:paraId="0938B118" w14:textId="77777777" w:rsidR="005471DC" w:rsidRDefault="005471DC" w:rsidP="008865CA">
            <w:pPr>
              <w:spacing w:line="0" w:lineRule="atLeast"/>
            </w:pPr>
          </w:p>
        </w:tc>
        <w:tc>
          <w:tcPr>
            <w:tcW w:w="274" w:type="dxa"/>
            <w:shd w:val="clear" w:color="auto" w:fill="auto"/>
            <w:vAlign w:val="bottom"/>
          </w:tcPr>
          <w:p w14:paraId="5EEE973F" w14:textId="77777777" w:rsidR="005471DC" w:rsidRDefault="005471DC" w:rsidP="008865CA">
            <w:pPr>
              <w:spacing w:line="0" w:lineRule="atLeast"/>
            </w:pPr>
          </w:p>
        </w:tc>
        <w:tc>
          <w:tcPr>
            <w:tcW w:w="62" w:type="dxa"/>
            <w:shd w:val="clear" w:color="auto" w:fill="auto"/>
            <w:vAlign w:val="bottom"/>
          </w:tcPr>
          <w:p w14:paraId="022D2834" w14:textId="77777777" w:rsidR="005471DC" w:rsidRDefault="005471DC" w:rsidP="008865CA">
            <w:pPr>
              <w:spacing w:line="0" w:lineRule="atLeast"/>
            </w:pPr>
          </w:p>
        </w:tc>
        <w:tc>
          <w:tcPr>
            <w:tcW w:w="396" w:type="dxa"/>
            <w:shd w:val="clear" w:color="auto" w:fill="auto"/>
            <w:vAlign w:val="bottom"/>
          </w:tcPr>
          <w:p w14:paraId="196BFDFA" w14:textId="77777777" w:rsidR="005471DC" w:rsidRDefault="005471DC" w:rsidP="008865CA">
            <w:pPr>
              <w:spacing w:line="0" w:lineRule="atLeast"/>
            </w:pPr>
          </w:p>
        </w:tc>
        <w:tc>
          <w:tcPr>
            <w:tcW w:w="580" w:type="dxa"/>
            <w:shd w:val="clear" w:color="auto" w:fill="auto"/>
            <w:vAlign w:val="bottom"/>
          </w:tcPr>
          <w:p w14:paraId="5EFB244E" w14:textId="77777777" w:rsidR="005471DC" w:rsidRDefault="005471DC" w:rsidP="008865CA">
            <w:pPr>
              <w:spacing w:line="0" w:lineRule="atLeast"/>
            </w:pPr>
          </w:p>
        </w:tc>
      </w:tr>
    </w:tbl>
    <w:p w14:paraId="73CC2D05" w14:textId="77777777" w:rsidR="005471DC" w:rsidRDefault="005471DC" w:rsidP="005471DC">
      <w:pPr>
        <w:spacing w:line="360" w:lineRule="auto"/>
        <w:jc w:val="both"/>
        <w:rPr>
          <w:b/>
          <w:sz w:val="28"/>
          <w:szCs w:val="28"/>
        </w:rPr>
      </w:pPr>
    </w:p>
    <w:p w14:paraId="7AE8168B" w14:textId="79AAF32E" w:rsidR="004D2838" w:rsidRDefault="00E7329B" w:rsidP="004D2838">
      <w:pPr>
        <w:spacing w:line="360" w:lineRule="auto"/>
        <w:jc w:val="both"/>
        <w:rPr>
          <w:sz w:val="28"/>
          <w:szCs w:val="28"/>
          <w:lang w:val="en-US"/>
        </w:rPr>
      </w:pPr>
      <w:r w:rsidRPr="004D2838">
        <w:rPr>
          <w:sz w:val="28"/>
          <w:szCs w:val="28"/>
          <w:lang w:val="en-US"/>
        </w:rPr>
        <w:t>W</w:t>
      </w:r>
      <w:r w:rsidR="004D2838" w:rsidRPr="004D2838">
        <w:rPr>
          <w:sz w:val="28"/>
          <w:szCs w:val="28"/>
          <w:lang w:val="en-US"/>
        </w:rPr>
        <w:t>here</w:t>
      </w:r>
      <w:r>
        <w:rPr>
          <w:sz w:val="28"/>
          <w:szCs w:val="28"/>
          <w:lang w:val="en-US"/>
        </w:rPr>
        <w:t>,</w:t>
      </w:r>
      <w:r w:rsidR="004D2838" w:rsidRPr="004D2838">
        <w:rPr>
          <w:sz w:val="28"/>
          <w:szCs w:val="28"/>
          <w:lang w:val="en-US"/>
        </w:rPr>
        <w:t xml:space="preserve"> </w:t>
      </w:r>
      <w:r w:rsidR="004D2838" w:rsidRPr="004D2838">
        <w:rPr>
          <w:i/>
          <w:sz w:val="28"/>
          <w:szCs w:val="28"/>
          <w:lang w:val="en-US"/>
        </w:rPr>
        <w:t>y</w:t>
      </w:r>
      <w:r>
        <w:rPr>
          <w:sz w:val="28"/>
          <w:szCs w:val="28"/>
          <w:lang w:val="en-US"/>
        </w:rPr>
        <w:t xml:space="preserve"> show that </w:t>
      </w:r>
      <w:r w:rsidR="004D2838" w:rsidRPr="004D2838">
        <w:rPr>
          <w:sz w:val="28"/>
          <w:szCs w:val="28"/>
          <w:lang w:val="en-US"/>
        </w:rPr>
        <w:t>income (or expenditure per capita).</w:t>
      </w:r>
    </w:p>
    <w:p w14:paraId="34B5CAE8" w14:textId="77777777" w:rsidR="004D2838" w:rsidRDefault="004D2838" w:rsidP="004D2838">
      <w:pPr>
        <w:spacing w:line="360" w:lineRule="auto"/>
        <w:jc w:val="both"/>
        <w:rPr>
          <w:sz w:val="28"/>
          <w:szCs w:val="28"/>
          <w:lang w:val="en-US"/>
        </w:rPr>
      </w:pPr>
    </w:p>
    <w:p w14:paraId="3D35FC39" w14:textId="77777777" w:rsidR="004D2838" w:rsidRDefault="004D2838" w:rsidP="004D2838">
      <w:pPr>
        <w:spacing w:line="360" w:lineRule="auto"/>
        <w:jc w:val="both"/>
        <w:rPr>
          <w:sz w:val="28"/>
          <w:szCs w:val="28"/>
        </w:rPr>
      </w:pPr>
      <w:r w:rsidRPr="004D2838">
        <w:rPr>
          <w:sz w:val="28"/>
          <w:szCs w:val="28"/>
        </w:rPr>
        <w:t>GE measurement values vary between 0 and ∞ whereas zero is an equal distribution and a higher value is a higher level of inequality. In the GE class, the parameter α represents the weight given to income distances at various parts of the income distribution and can take any real value. GE is more sensitive to changes in the lower tail of the distribution for lower values of α, and GE is more sensitive to changes affecting the upper tail for higher values.</w:t>
      </w:r>
      <w:r>
        <w:rPr>
          <w:sz w:val="28"/>
          <w:szCs w:val="28"/>
        </w:rPr>
        <w:t xml:space="preserve"> </w:t>
      </w:r>
      <w:r w:rsidRPr="004D2838">
        <w:rPr>
          <w:sz w:val="28"/>
          <w:szCs w:val="28"/>
        </w:rPr>
        <w:t>The most commonly used α values are 0,1 and 2. GE(1) is the T index of Theil that can be written as</w:t>
      </w:r>
    </w:p>
    <w:p w14:paraId="5B19FDA8" w14:textId="77777777" w:rsidR="004D2838" w:rsidRDefault="004D2838" w:rsidP="004D2838">
      <w:pPr>
        <w:spacing w:line="360" w:lineRule="auto"/>
        <w:jc w:val="both"/>
        <w:rPr>
          <w:sz w:val="28"/>
          <w:szCs w:val="28"/>
        </w:rPr>
      </w:pPr>
    </w:p>
    <w:tbl>
      <w:tblPr>
        <w:tblpPr w:leftFromText="180" w:rightFromText="180" w:vertAnchor="text" w:horzAnchor="margin" w:tblpXSpec="center" w:tblpY="129"/>
        <w:tblW w:w="0" w:type="auto"/>
        <w:tblLayout w:type="fixed"/>
        <w:tblCellMar>
          <w:left w:w="0" w:type="dxa"/>
          <w:right w:w="0" w:type="dxa"/>
        </w:tblCellMar>
        <w:tblLook w:val="0000" w:firstRow="0" w:lastRow="0" w:firstColumn="0" w:lastColumn="0" w:noHBand="0" w:noVBand="0"/>
      </w:tblPr>
      <w:tblGrid>
        <w:gridCol w:w="2036"/>
        <w:gridCol w:w="2885"/>
        <w:gridCol w:w="364"/>
        <w:gridCol w:w="315"/>
        <w:gridCol w:w="243"/>
        <w:gridCol w:w="97"/>
        <w:gridCol w:w="194"/>
        <w:gridCol w:w="73"/>
        <w:gridCol w:w="533"/>
        <w:gridCol w:w="97"/>
        <w:gridCol w:w="194"/>
        <w:gridCol w:w="73"/>
        <w:gridCol w:w="121"/>
      </w:tblGrid>
      <w:tr w:rsidR="004D2838" w14:paraId="24430D84" w14:textId="77777777" w:rsidTr="004D2838">
        <w:trPr>
          <w:trHeight w:val="222"/>
        </w:trPr>
        <w:tc>
          <w:tcPr>
            <w:tcW w:w="2036" w:type="dxa"/>
            <w:shd w:val="clear" w:color="auto" w:fill="auto"/>
            <w:vAlign w:val="bottom"/>
          </w:tcPr>
          <w:p w14:paraId="0F2505E7" w14:textId="77777777" w:rsidR="004D2838" w:rsidRPr="00A4164D" w:rsidRDefault="004D2838" w:rsidP="004D2838">
            <w:pPr>
              <w:spacing w:line="0" w:lineRule="atLeast"/>
              <w:rPr>
                <w:sz w:val="15"/>
                <w:lang w:val="en-US"/>
              </w:rPr>
            </w:pPr>
          </w:p>
        </w:tc>
        <w:tc>
          <w:tcPr>
            <w:tcW w:w="2885" w:type="dxa"/>
            <w:shd w:val="clear" w:color="auto" w:fill="auto"/>
            <w:vAlign w:val="bottom"/>
          </w:tcPr>
          <w:p w14:paraId="1A6029AA" w14:textId="77777777" w:rsidR="004D2838" w:rsidRPr="00A4164D" w:rsidRDefault="004D2838" w:rsidP="004D2838">
            <w:pPr>
              <w:spacing w:line="0" w:lineRule="atLeast"/>
              <w:rPr>
                <w:sz w:val="15"/>
                <w:lang w:val="en-US"/>
              </w:rPr>
            </w:pPr>
          </w:p>
        </w:tc>
        <w:tc>
          <w:tcPr>
            <w:tcW w:w="364" w:type="dxa"/>
            <w:vMerge w:val="restart"/>
            <w:shd w:val="clear" w:color="auto" w:fill="auto"/>
            <w:vAlign w:val="bottom"/>
          </w:tcPr>
          <w:p w14:paraId="762B21D1" w14:textId="77777777" w:rsidR="004D2838" w:rsidRDefault="004D2838" w:rsidP="004D2838">
            <w:pPr>
              <w:spacing w:line="0" w:lineRule="atLeast"/>
              <w:jc w:val="right"/>
            </w:pPr>
            <w:r>
              <w:t>1</w:t>
            </w:r>
          </w:p>
        </w:tc>
        <w:tc>
          <w:tcPr>
            <w:tcW w:w="315" w:type="dxa"/>
            <w:shd w:val="clear" w:color="auto" w:fill="auto"/>
            <w:vAlign w:val="bottom"/>
          </w:tcPr>
          <w:p w14:paraId="6FBD3E91" w14:textId="77777777" w:rsidR="004D2838" w:rsidRDefault="004D2838" w:rsidP="004D2838">
            <w:pPr>
              <w:spacing w:line="0" w:lineRule="atLeast"/>
              <w:ind w:left="60"/>
              <w:jc w:val="center"/>
              <w:rPr>
                <w:i/>
                <w:sz w:val="14"/>
              </w:rPr>
            </w:pPr>
            <w:r>
              <w:rPr>
                <w:i/>
                <w:sz w:val="14"/>
              </w:rPr>
              <w:t>N</w:t>
            </w:r>
          </w:p>
        </w:tc>
        <w:tc>
          <w:tcPr>
            <w:tcW w:w="242" w:type="dxa"/>
            <w:shd w:val="clear" w:color="auto" w:fill="auto"/>
            <w:vAlign w:val="bottom"/>
          </w:tcPr>
          <w:p w14:paraId="4A163364" w14:textId="77777777" w:rsidR="004D2838" w:rsidRDefault="004D2838" w:rsidP="004D2838">
            <w:pPr>
              <w:spacing w:line="0" w:lineRule="atLeast"/>
              <w:rPr>
                <w:sz w:val="15"/>
              </w:rPr>
            </w:pPr>
          </w:p>
        </w:tc>
        <w:tc>
          <w:tcPr>
            <w:tcW w:w="364" w:type="dxa"/>
            <w:gridSpan w:val="3"/>
            <w:vMerge w:val="restart"/>
            <w:shd w:val="clear" w:color="auto" w:fill="auto"/>
            <w:vAlign w:val="bottom"/>
          </w:tcPr>
          <w:p w14:paraId="50BE60C3" w14:textId="77777777" w:rsidR="004D2838" w:rsidRDefault="004D2838" w:rsidP="004D2838">
            <w:pPr>
              <w:spacing w:line="0" w:lineRule="atLeast"/>
              <w:ind w:left="60"/>
              <w:rPr>
                <w:i/>
                <w:sz w:val="27"/>
                <w:vertAlign w:val="subscript"/>
              </w:rPr>
            </w:pPr>
            <w:r>
              <w:rPr>
                <w:i/>
              </w:rPr>
              <w:t xml:space="preserve">y </w:t>
            </w:r>
            <w:r>
              <w:rPr>
                <w:i/>
                <w:sz w:val="27"/>
                <w:vertAlign w:val="subscript"/>
              </w:rPr>
              <w:t>i</w:t>
            </w:r>
          </w:p>
        </w:tc>
        <w:tc>
          <w:tcPr>
            <w:tcW w:w="533" w:type="dxa"/>
            <w:shd w:val="clear" w:color="auto" w:fill="auto"/>
            <w:vAlign w:val="bottom"/>
          </w:tcPr>
          <w:p w14:paraId="32930616" w14:textId="77777777" w:rsidR="004D2838" w:rsidRDefault="004D2838" w:rsidP="004D2838">
            <w:pPr>
              <w:spacing w:line="0" w:lineRule="atLeast"/>
              <w:rPr>
                <w:sz w:val="15"/>
              </w:rPr>
            </w:pPr>
          </w:p>
        </w:tc>
        <w:tc>
          <w:tcPr>
            <w:tcW w:w="364" w:type="dxa"/>
            <w:gridSpan w:val="3"/>
            <w:vMerge w:val="restart"/>
            <w:shd w:val="clear" w:color="auto" w:fill="auto"/>
            <w:vAlign w:val="bottom"/>
          </w:tcPr>
          <w:p w14:paraId="4D5D4D63" w14:textId="77777777" w:rsidR="004D2838" w:rsidRDefault="004D2838" w:rsidP="004D2838">
            <w:pPr>
              <w:spacing w:line="0" w:lineRule="atLeast"/>
              <w:ind w:left="40"/>
              <w:rPr>
                <w:i/>
                <w:sz w:val="27"/>
                <w:vertAlign w:val="subscript"/>
              </w:rPr>
            </w:pPr>
            <w:r>
              <w:rPr>
                <w:i/>
              </w:rPr>
              <w:t xml:space="preserve">y </w:t>
            </w:r>
            <w:r>
              <w:rPr>
                <w:i/>
                <w:sz w:val="27"/>
                <w:vertAlign w:val="subscript"/>
              </w:rPr>
              <w:t>i</w:t>
            </w:r>
          </w:p>
        </w:tc>
        <w:tc>
          <w:tcPr>
            <w:tcW w:w="121" w:type="dxa"/>
            <w:shd w:val="clear" w:color="auto" w:fill="auto"/>
            <w:vAlign w:val="bottom"/>
          </w:tcPr>
          <w:p w14:paraId="0F6EAF2D" w14:textId="77777777" w:rsidR="004D2838" w:rsidRDefault="004D2838" w:rsidP="004D2838">
            <w:pPr>
              <w:spacing w:line="0" w:lineRule="atLeast"/>
              <w:rPr>
                <w:sz w:val="15"/>
              </w:rPr>
            </w:pPr>
          </w:p>
        </w:tc>
      </w:tr>
      <w:tr w:rsidR="004D2838" w14:paraId="42373F42" w14:textId="77777777" w:rsidTr="004D2838">
        <w:trPr>
          <w:trHeight w:val="347"/>
        </w:trPr>
        <w:tc>
          <w:tcPr>
            <w:tcW w:w="2036" w:type="dxa"/>
            <w:vMerge w:val="restart"/>
            <w:shd w:val="clear" w:color="auto" w:fill="auto"/>
            <w:vAlign w:val="bottom"/>
          </w:tcPr>
          <w:p w14:paraId="3B6A5553" w14:textId="77777777" w:rsidR="004D2838" w:rsidRDefault="004D2838" w:rsidP="004D2838">
            <w:pPr>
              <w:spacing w:line="0" w:lineRule="atLeast"/>
              <w:ind w:right="1100"/>
              <w:jc w:val="right"/>
              <w:rPr>
                <w:b/>
                <w:w w:val="95"/>
              </w:rPr>
            </w:pPr>
            <w:r>
              <w:rPr>
                <w:b/>
                <w:w w:val="95"/>
              </w:rPr>
              <w:t>(</w:t>
            </w:r>
            <w:r>
              <w:rPr>
                <w:b/>
                <w:w w:val="95"/>
                <w:lang w:val="en-US"/>
              </w:rPr>
              <w:t>1.4</w:t>
            </w:r>
            <w:r>
              <w:rPr>
                <w:b/>
                <w:w w:val="95"/>
              </w:rPr>
              <w:t>)</w:t>
            </w:r>
          </w:p>
        </w:tc>
        <w:tc>
          <w:tcPr>
            <w:tcW w:w="2885" w:type="dxa"/>
            <w:vMerge w:val="restart"/>
            <w:shd w:val="clear" w:color="auto" w:fill="auto"/>
            <w:vAlign w:val="bottom"/>
          </w:tcPr>
          <w:p w14:paraId="795818DB" w14:textId="77777777" w:rsidR="004D2838" w:rsidRDefault="004D2838" w:rsidP="004D2838">
            <w:pPr>
              <w:spacing w:line="276" w:lineRule="exact"/>
              <w:ind w:left="1240"/>
              <w:rPr>
                <w:rFonts w:ascii="Arial" w:eastAsia="Arial" w:hAnsi="Arial"/>
              </w:rPr>
            </w:pPr>
            <w:r>
              <w:rPr>
                <w:i/>
              </w:rPr>
              <w:t xml:space="preserve">G E </w:t>
            </w:r>
            <w:r>
              <w:t>(1)</w:t>
            </w:r>
            <w:r>
              <w:rPr>
                <w:i/>
              </w:rPr>
              <w:t xml:space="preserve"> </w:t>
            </w:r>
            <w:r>
              <w:rPr>
                <w:rFonts w:ascii="Arial" w:eastAsia="Arial" w:hAnsi="Arial"/>
              </w:rPr>
              <w:t>=</w:t>
            </w:r>
          </w:p>
        </w:tc>
        <w:tc>
          <w:tcPr>
            <w:tcW w:w="364" w:type="dxa"/>
            <w:vMerge/>
            <w:tcBorders>
              <w:bottom w:val="single" w:sz="8" w:space="0" w:color="auto"/>
            </w:tcBorders>
            <w:shd w:val="clear" w:color="auto" w:fill="auto"/>
            <w:vAlign w:val="bottom"/>
          </w:tcPr>
          <w:p w14:paraId="43BE833E" w14:textId="77777777" w:rsidR="004D2838" w:rsidRDefault="004D2838" w:rsidP="004D2838">
            <w:pPr>
              <w:spacing w:line="0" w:lineRule="atLeast"/>
              <w:rPr>
                <w:sz w:val="15"/>
              </w:rPr>
            </w:pPr>
          </w:p>
        </w:tc>
        <w:tc>
          <w:tcPr>
            <w:tcW w:w="558" w:type="dxa"/>
            <w:gridSpan w:val="2"/>
            <w:vMerge w:val="restart"/>
            <w:shd w:val="clear" w:color="auto" w:fill="auto"/>
            <w:vAlign w:val="bottom"/>
          </w:tcPr>
          <w:p w14:paraId="7EBDBAC2" w14:textId="77777777" w:rsidR="004D2838" w:rsidRDefault="004D2838" w:rsidP="004D2838">
            <w:pPr>
              <w:spacing w:line="276" w:lineRule="exact"/>
              <w:ind w:right="10"/>
              <w:jc w:val="center"/>
              <w:rPr>
                <w:rFonts w:ascii="Arial" w:eastAsia="Arial" w:hAnsi="Arial"/>
                <w:sz w:val="32"/>
              </w:rPr>
            </w:pPr>
            <w:r>
              <w:rPr>
                <w:rFonts w:ascii="Arial" w:eastAsia="Arial" w:hAnsi="Arial"/>
                <w:sz w:val="32"/>
              </w:rPr>
              <w:t>∑</w:t>
            </w:r>
          </w:p>
        </w:tc>
        <w:tc>
          <w:tcPr>
            <w:tcW w:w="364" w:type="dxa"/>
            <w:gridSpan w:val="3"/>
            <w:vMerge/>
            <w:tcBorders>
              <w:bottom w:val="single" w:sz="8" w:space="0" w:color="auto"/>
            </w:tcBorders>
            <w:shd w:val="clear" w:color="auto" w:fill="auto"/>
            <w:vAlign w:val="bottom"/>
          </w:tcPr>
          <w:p w14:paraId="4FB2B17E" w14:textId="77777777" w:rsidR="004D2838" w:rsidRDefault="004D2838" w:rsidP="004D2838">
            <w:pPr>
              <w:spacing w:line="0" w:lineRule="atLeast"/>
              <w:rPr>
                <w:sz w:val="15"/>
              </w:rPr>
            </w:pPr>
          </w:p>
        </w:tc>
        <w:tc>
          <w:tcPr>
            <w:tcW w:w="533" w:type="dxa"/>
            <w:vMerge w:val="restart"/>
            <w:shd w:val="clear" w:color="auto" w:fill="auto"/>
            <w:vAlign w:val="bottom"/>
          </w:tcPr>
          <w:p w14:paraId="155002EC" w14:textId="77777777" w:rsidR="004D2838" w:rsidRDefault="004D2838" w:rsidP="004D2838">
            <w:pPr>
              <w:spacing w:line="0" w:lineRule="atLeast"/>
              <w:ind w:left="60"/>
            </w:pPr>
            <w:r>
              <w:t>ln (</w:t>
            </w:r>
          </w:p>
        </w:tc>
        <w:tc>
          <w:tcPr>
            <w:tcW w:w="364" w:type="dxa"/>
            <w:gridSpan w:val="3"/>
            <w:vMerge/>
            <w:tcBorders>
              <w:bottom w:val="single" w:sz="8" w:space="0" w:color="auto"/>
            </w:tcBorders>
            <w:shd w:val="clear" w:color="auto" w:fill="auto"/>
            <w:vAlign w:val="bottom"/>
          </w:tcPr>
          <w:p w14:paraId="398CCA89" w14:textId="77777777" w:rsidR="004D2838" w:rsidRDefault="004D2838" w:rsidP="004D2838">
            <w:pPr>
              <w:spacing w:line="0" w:lineRule="atLeast"/>
              <w:rPr>
                <w:sz w:val="15"/>
              </w:rPr>
            </w:pPr>
          </w:p>
        </w:tc>
        <w:tc>
          <w:tcPr>
            <w:tcW w:w="121" w:type="dxa"/>
            <w:vMerge w:val="restart"/>
            <w:shd w:val="clear" w:color="auto" w:fill="auto"/>
            <w:vAlign w:val="bottom"/>
          </w:tcPr>
          <w:p w14:paraId="6942C973" w14:textId="77777777" w:rsidR="004D2838" w:rsidRDefault="004D2838" w:rsidP="004D2838">
            <w:pPr>
              <w:spacing w:line="0" w:lineRule="atLeast"/>
              <w:jc w:val="right"/>
              <w:rPr>
                <w:w w:val="99"/>
              </w:rPr>
            </w:pPr>
            <w:r>
              <w:rPr>
                <w:w w:val="99"/>
              </w:rPr>
              <w:t>)</w:t>
            </w:r>
          </w:p>
        </w:tc>
      </w:tr>
      <w:tr w:rsidR="004D2838" w14:paraId="6AEE2D39" w14:textId="77777777" w:rsidTr="004D2838">
        <w:trPr>
          <w:trHeight w:val="101"/>
        </w:trPr>
        <w:tc>
          <w:tcPr>
            <w:tcW w:w="2036" w:type="dxa"/>
            <w:vMerge/>
            <w:shd w:val="clear" w:color="auto" w:fill="auto"/>
            <w:vAlign w:val="bottom"/>
          </w:tcPr>
          <w:p w14:paraId="5C8291D4" w14:textId="77777777" w:rsidR="004D2838" w:rsidRDefault="004D2838" w:rsidP="004D2838">
            <w:pPr>
              <w:spacing w:line="0" w:lineRule="atLeast"/>
              <w:rPr>
                <w:sz w:val="6"/>
              </w:rPr>
            </w:pPr>
          </w:p>
        </w:tc>
        <w:tc>
          <w:tcPr>
            <w:tcW w:w="2885" w:type="dxa"/>
            <w:vMerge/>
            <w:shd w:val="clear" w:color="auto" w:fill="auto"/>
            <w:vAlign w:val="bottom"/>
          </w:tcPr>
          <w:p w14:paraId="18215D77" w14:textId="77777777" w:rsidR="004D2838" w:rsidRDefault="004D2838" w:rsidP="004D2838">
            <w:pPr>
              <w:spacing w:line="0" w:lineRule="atLeast"/>
              <w:rPr>
                <w:sz w:val="6"/>
              </w:rPr>
            </w:pPr>
          </w:p>
        </w:tc>
        <w:tc>
          <w:tcPr>
            <w:tcW w:w="364" w:type="dxa"/>
            <w:vMerge w:val="restart"/>
            <w:shd w:val="clear" w:color="auto" w:fill="auto"/>
            <w:vAlign w:val="bottom"/>
          </w:tcPr>
          <w:p w14:paraId="530B63D7" w14:textId="77777777" w:rsidR="004D2838" w:rsidRDefault="004D2838" w:rsidP="004D2838">
            <w:pPr>
              <w:spacing w:line="0" w:lineRule="atLeast"/>
              <w:jc w:val="right"/>
              <w:rPr>
                <w:i/>
              </w:rPr>
            </w:pPr>
            <w:r>
              <w:rPr>
                <w:i/>
              </w:rPr>
              <w:t>N</w:t>
            </w:r>
          </w:p>
        </w:tc>
        <w:tc>
          <w:tcPr>
            <w:tcW w:w="558" w:type="dxa"/>
            <w:gridSpan w:val="2"/>
            <w:vMerge/>
            <w:shd w:val="clear" w:color="auto" w:fill="auto"/>
            <w:vAlign w:val="bottom"/>
          </w:tcPr>
          <w:p w14:paraId="7701FF20" w14:textId="77777777" w:rsidR="004D2838" w:rsidRDefault="004D2838" w:rsidP="004D2838">
            <w:pPr>
              <w:spacing w:line="0" w:lineRule="atLeast"/>
              <w:rPr>
                <w:sz w:val="6"/>
              </w:rPr>
            </w:pPr>
          </w:p>
        </w:tc>
        <w:tc>
          <w:tcPr>
            <w:tcW w:w="97" w:type="dxa"/>
            <w:shd w:val="clear" w:color="auto" w:fill="auto"/>
            <w:vAlign w:val="bottom"/>
          </w:tcPr>
          <w:p w14:paraId="22A56E88" w14:textId="77777777" w:rsidR="004D2838" w:rsidRDefault="004D2838" w:rsidP="004D2838">
            <w:pPr>
              <w:spacing w:line="0" w:lineRule="atLeast"/>
              <w:rPr>
                <w:sz w:val="6"/>
              </w:rPr>
            </w:pPr>
          </w:p>
        </w:tc>
        <w:tc>
          <w:tcPr>
            <w:tcW w:w="194" w:type="dxa"/>
            <w:vMerge w:val="restart"/>
            <w:shd w:val="clear" w:color="auto" w:fill="auto"/>
            <w:vAlign w:val="bottom"/>
          </w:tcPr>
          <w:p w14:paraId="3F8E0D48" w14:textId="77777777" w:rsidR="004D2838" w:rsidRDefault="004D2838" w:rsidP="004D2838">
            <w:pPr>
              <w:spacing w:line="0" w:lineRule="atLeast"/>
              <w:rPr>
                <w:i/>
                <w:strike/>
              </w:rPr>
            </w:pPr>
            <w:r>
              <w:rPr>
                <w:i/>
                <w:strike/>
              </w:rPr>
              <w:t>y</w:t>
            </w:r>
          </w:p>
        </w:tc>
        <w:tc>
          <w:tcPr>
            <w:tcW w:w="73" w:type="dxa"/>
            <w:shd w:val="clear" w:color="auto" w:fill="auto"/>
            <w:vAlign w:val="bottom"/>
          </w:tcPr>
          <w:p w14:paraId="47A04DA3" w14:textId="77777777" w:rsidR="004D2838" w:rsidRDefault="004D2838" w:rsidP="004D2838">
            <w:pPr>
              <w:spacing w:line="0" w:lineRule="atLeast"/>
              <w:rPr>
                <w:sz w:val="6"/>
              </w:rPr>
            </w:pPr>
          </w:p>
        </w:tc>
        <w:tc>
          <w:tcPr>
            <w:tcW w:w="533" w:type="dxa"/>
            <w:vMerge/>
            <w:shd w:val="clear" w:color="auto" w:fill="auto"/>
            <w:vAlign w:val="bottom"/>
          </w:tcPr>
          <w:p w14:paraId="6BCF2ED1" w14:textId="77777777" w:rsidR="004D2838" w:rsidRDefault="004D2838" w:rsidP="004D2838">
            <w:pPr>
              <w:spacing w:line="0" w:lineRule="atLeast"/>
              <w:rPr>
                <w:sz w:val="6"/>
              </w:rPr>
            </w:pPr>
          </w:p>
        </w:tc>
        <w:tc>
          <w:tcPr>
            <w:tcW w:w="97" w:type="dxa"/>
            <w:shd w:val="clear" w:color="auto" w:fill="auto"/>
            <w:vAlign w:val="bottom"/>
          </w:tcPr>
          <w:p w14:paraId="06440882" w14:textId="77777777" w:rsidR="004D2838" w:rsidRDefault="004D2838" w:rsidP="004D2838">
            <w:pPr>
              <w:spacing w:line="0" w:lineRule="atLeast"/>
              <w:rPr>
                <w:sz w:val="6"/>
              </w:rPr>
            </w:pPr>
          </w:p>
        </w:tc>
        <w:tc>
          <w:tcPr>
            <w:tcW w:w="194" w:type="dxa"/>
            <w:vMerge w:val="restart"/>
            <w:shd w:val="clear" w:color="auto" w:fill="auto"/>
            <w:vAlign w:val="bottom"/>
          </w:tcPr>
          <w:p w14:paraId="7B070B03" w14:textId="77777777" w:rsidR="004D2838" w:rsidRDefault="004D2838" w:rsidP="004D2838">
            <w:pPr>
              <w:spacing w:line="0" w:lineRule="atLeast"/>
              <w:rPr>
                <w:i/>
                <w:strike/>
              </w:rPr>
            </w:pPr>
            <w:r>
              <w:rPr>
                <w:i/>
                <w:strike/>
              </w:rPr>
              <w:t>y</w:t>
            </w:r>
          </w:p>
        </w:tc>
        <w:tc>
          <w:tcPr>
            <w:tcW w:w="73" w:type="dxa"/>
            <w:shd w:val="clear" w:color="auto" w:fill="auto"/>
            <w:vAlign w:val="bottom"/>
          </w:tcPr>
          <w:p w14:paraId="583E5D3C" w14:textId="77777777" w:rsidR="004D2838" w:rsidRDefault="004D2838" w:rsidP="004D2838">
            <w:pPr>
              <w:spacing w:line="0" w:lineRule="atLeast"/>
              <w:rPr>
                <w:sz w:val="6"/>
              </w:rPr>
            </w:pPr>
          </w:p>
        </w:tc>
        <w:tc>
          <w:tcPr>
            <w:tcW w:w="121" w:type="dxa"/>
            <w:vMerge/>
            <w:shd w:val="clear" w:color="auto" w:fill="auto"/>
            <w:vAlign w:val="bottom"/>
          </w:tcPr>
          <w:p w14:paraId="6B8BBD68" w14:textId="77777777" w:rsidR="004D2838" w:rsidRDefault="004D2838" w:rsidP="004D2838">
            <w:pPr>
              <w:spacing w:line="0" w:lineRule="atLeast"/>
              <w:rPr>
                <w:sz w:val="6"/>
              </w:rPr>
            </w:pPr>
          </w:p>
        </w:tc>
      </w:tr>
      <w:tr w:rsidR="004D2838" w14:paraId="7AED501B" w14:textId="77777777" w:rsidTr="004D2838">
        <w:trPr>
          <w:trHeight w:val="302"/>
        </w:trPr>
        <w:tc>
          <w:tcPr>
            <w:tcW w:w="2036" w:type="dxa"/>
            <w:shd w:val="clear" w:color="auto" w:fill="auto"/>
            <w:vAlign w:val="bottom"/>
          </w:tcPr>
          <w:p w14:paraId="4E49DA05" w14:textId="77777777" w:rsidR="004D2838" w:rsidRDefault="004D2838" w:rsidP="004D2838">
            <w:pPr>
              <w:spacing w:line="0" w:lineRule="atLeast"/>
            </w:pPr>
          </w:p>
        </w:tc>
        <w:tc>
          <w:tcPr>
            <w:tcW w:w="2885" w:type="dxa"/>
            <w:shd w:val="clear" w:color="auto" w:fill="auto"/>
            <w:vAlign w:val="bottom"/>
          </w:tcPr>
          <w:p w14:paraId="023DC477" w14:textId="77777777" w:rsidR="004D2838" w:rsidRDefault="004D2838" w:rsidP="004D2838">
            <w:pPr>
              <w:spacing w:line="0" w:lineRule="atLeast"/>
            </w:pPr>
          </w:p>
        </w:tc>
        <w:tc>
          <w:tcPr>
            <w:tcW w:w="364" w:type="dxa"/>
            <w:vMerge/>
            <w:shd w:val="clear" w:color="auto" w:fill="auto"/>
            <w:vAlign w:val="bottom"/>
          </w:tcPr>
          <w:p w14:paraId="16A6CA1F" w14:textId="77777777" w:rsidR="004D2838" w:rsidRDefault="004D2838" w:rsidP="004D2838">
            <w:pPr>
              <w:spacing w:line="0" w:lineRule="atLeast"/>
            </w:pPr>
          </w:p>
        </w:tc>
        <w:tc>
          <w:tcPr>
            <w:tcW w:w="315" w:type="dxa"/>
            <w:shd w:val="clear" w:color="auto" w:fill="auto"/>
            <w:vAlign w:val="bottom"/>
          </w:tcPr>
          <w:p w14:paraId="17A4C648" w14:textId="77777777" w:rsidR="004D2838" w:rsidRDefault="004D2838" w:rsidP="004D2838">
            <w:pPr>
              <w:spacing w:line="0" w:lineRule="atLeast"/>
              <w:jc w:val="center"/>
              <w:rPr>
                <w:rFonts w:ascii="Arial" w:eastAsia="Arial" w:hAnsi="Arial"/>
                <w:sz w:val="14"/>
              </w:rPr>
            </w:pPr>
            <w:r>
              <w:rPr>
                <w:i/>
                <w:sz w:val="14"/>
              </w:rPr>
              <w:t xml:space="preserve">i </w:t>
            </w:r>
            <w:r>
              <w:rPr>
                <w:rFonts w:ascii="Arial" w:eastAsia="Arial" w:hAnsi="Arial"/>
                <w:sz w:val="14"/>
              </w:rPr>
              <w:t>=</w:t>
            </w:r>
          </w:p>
        </w:tc>
        <w:tc>
          <w:tcPr>
            <w:tcW w:w="242" w:type="dxa"/>
            <w:shd w:val="clear" w:color="auto" w:fill="auto"/>
            <w:vAlign w:val="bottom"/>
          </w:tcPr>
          <w:p w14:paraId="2757796C" w14:textId="77777777" w:rsidR="004D2838" w:rsidRDefault="004D2838" w:rsidP="004D2838">
            <w:pPr>
              <w:spacing w:line="0" w:lineRule="atLeast"/>
              <w:ind w:right="50"/>
              <w:jc w:val="right"/>
              <w:rPr>
                <w:w w:val="85"/>
                <w:sz w:val="14"/>
              </w:rPr>
            </w:pPr>
            <w:r>
              <w:rPr>
                <w:w w:val="85"/>
                <w:sz w:val="14"/>
              </w:rPr>
              <w:t>1</w:t>
            </w:r>
          </w:p>
        </w:tc>
        <w:tc>
          <w:tcPr>
            <w:tcW w:w="97" w:type="dxa"/>
            <w:shd w:val="clear" w:color="auto" w:fill="auto"/>
            <w:vAlign w:val="bottom"/>
          </w:tcPr>
          <w:p w14:paraId="61D9DFBA" w14:textId="77777777" w:rsidR="004D2838" w:rsidRDefault="004D2838" w:rsidP="004D2838">
            <w:pPr>
              <w:spacing w:line="0" w:lineRule="atLeast"/>
            </w:pPr>
          </w:p>
        </w:tc>
        <w:tc>
          <w:tcPr>
            <w:tcW w:w="194" w:type="dxa"/>
            <w:vMerge/>
            <w:shd w:val="clear" w:color="auto" w:fill="auto"/>
            <w:vAlign w:val="bottom"/>
          </w:tcPr>
          <w:p w14:paraId="7E68C4F3" w14:textId="77777777" w:rsidR="004D2838" w:rsidRDefault="004D2838" w:rsidP="004D2838">
            <w:pPr>
              <w:spacing w:line="0" w:lineRule="atLeast"/>
            </w:pPr>
          </w:p>
        </w:tc>
        <w:tc>
          <w:tcPr>
            <w:tcW w:w="73" w:type="dxa"/>
            <w:shd w:val="clear" w:color="auto" w:fill="auto"/>
            <w:vAlign w:val="bottom"/>
          </w:tcPr>
          <w:p w14:paraId="14588B14" w14:textId="77777777" w:rsidR="004D2838" w:rsidRDefault="004D2838" w:rsidP="004D2838">
            <w:pPr>
              <w:spacing w:line="0" w:lineRule="atLeast"/>
            </w:pPr>
          </w:p>
        </w:tc>
        <w:tc>
          <w:tcPr>
            <w:tcW w:w="533" w:type="dxa"/>
            <w:shd w:val="clear" w:color="auto" w:fill="auto"/>
            <w:vAlign w:val="bottom"/>
          </w:tcPr>
          <w:p w14:paraId="23DC27DA" w14:textId="77777777" w:rsidR="004D2838" w:rsidRDefault="004D2838" w:rsidP="004D2838">
            <w:pPr>
              <w:spacing w:line="0" w:lineRule="atLeast"/>
            </w:pPr>
          </w:p>
        </w:tc>
        <w:tc>
          <w:tcPr>
            <w:tcW w:w="97" w:type="dxa"/>
            <w:shd w:val="clear" w:color="auto" w:fill="auto"/>
            <w:vAlign w:val="bottom"/>
          </w:tcPr>
          <w:p w14:paraId="4FF1A8C4" w14:textId="77777777" w:rsidR="004D2838" w:rsidRDefault="004D2838" w:rsidP="004D2838">
            <w:pPr>
              <w:spacing w:line="0" w:lineRule="atLeast"/>
            </w:pPr>
          </w:p>
        </w:tc>
        <w:tc>
          <w:tcPr>
            <w:tcW w:w="194" w:type="dxa"/>
            <w:vMerge/>
            <w:shd w:val="clear" w:color="auto" w:fill="auto"/>
            <w:vAlign w:val="bottom"/>
          </w:tcPr>
          <w:p w14:paraId="04E4477D" w14:textId="77777777" w:rsidR="004D2838" w:rsidRDefault="004D2838" w:rsidP="004D2838">
            <w:pPr>
              <w:spacing w:line="0" w:lineRule="atLeast"/>
            </w:pPr>
          </w:p>
        </w:tc>
        <w:tc>
          <w:tcPr>
            <w:tcW w:w="194" w:type="dxa"/>
            <w:gridSpan w:val="2"/>
            <w:shd w:val="clear" w:color="auto" w:fill="auto"/>
            <w:vAlign w:val="bottom"/>
          </w:tcPr>
          <w:p w14:paraId="4497498C" w14:textId="77777777" w:rsidR="004D2838" w:rsidRDefault="004D2838" w:rsidP="004D2838">
            <w:pPr>
              <w:spacing w:line="0" w:lineRule="atLeast"/>
            </w:pPr>
          </w:p>
        </w:tc>
      </w:tr>
    </w:tbl>
    <w:p w14:paraId="7D270A40" w14:textId="77777777" w:rsidR="004D2838" w:rsidRDefault="004D2838" w:rsidP="004D2838">
      <w:pPr>
        <w:spacing w:line="360" w:lineRule="auto"/>
        <w:jc w:val="both"/>
        <w:rPr>
          <w:sz w:val="28"/>
          <w:szCs w:val="28"/>
        </w:rPr>
      </w:pPr>
    </w:p>
    <w:p w14:paraId="5DC12F8F" w14:textId="77777777" w:rsidR="004D2838" w:rsidRDefault="004D2838" w:rsidP="004D2838">
      <w:pPr>
        <w:spacing w:line="360" w:lineRule="auto"/>
        <w:jc w:val="both"/>
        <w:rPr>
          <w:sz w:val="28"/>
          <w:szCs w:val="28"/>
        </w:rPr>
      </w:pPr>
    </w:p>
    <w:p w14:paraId="05DE8FD8" w14:textId="77777777" w:rsidR="00BA5E47" w:rsidRDefault="00BA5E47" w:rsidP="004D2838">
      <w:pPr>
        <w:spacing w:line="360" w:lineRule="auto"/>
        <w:jc w:val="both"/>
        <w:rPr>
          <w:sz w:val="28"/>
          <w:szCs w:val="28"/>
        </w:rPr>
      </w:pPr>
    </w:p>
    <w:p w14:paraId="46411488" w14:textId="77777777" w:rsidR="00BA5E47" w:rsidRDefault="00BA5E47" w:rsidP="004D2838">
      <w:pPr>
        <w:spacing w:line="360" w:lineRule="auto"/>
        <w:jc w:val="both"/>
        <w:rPr>
          <w:sz w:val="28"/>
          <w:szCs w:val="28"/>
        </w:rPr>
      </w:pPr>
    </w:p>
    <w:p w14:paraId="574A79F5" w14:textId="77777777" w:rsidR="004D2838" w:rsidRDefault="00302D58" w:rsidP="004D2838">
      <w:pPr>
        <w:spacing w:line="360" w:lineRule="auto"/>
        <w:jc w:val="both"/>
        <w:rPr>
          <w:sz w:val="28"/>
          <w:szCs w:val="28"/>
        </w:rPr>
      </w:pPr>
      <w:r w:rsidRPr="00302D58">
        <w:rPr>
          <w:sz w:val="28"/>
          <w:szCs w:val="28"/>
        </w:rPr>
        <w:t>GE (0), also known as Theil's L, is given by: sometimes referred to as the mean measure of log deviation.</w:t>
      </w:r>
    </w:p>
    <w:p w14:paraId="5F359341" w14:textId="77777777" w:rsidR="00302D58" w:rsidRDefault="00302D58" w:rsidP="004D2838">
      <w:pPr>
        <w:spacing w:line="360" w:lineRule="auto"/>
        <w:jc w:val="both"/>
        <w:rPr>
          <w:sz w:val="28"/>
          <w:szCs w:val="28"/>
        </w:rPr>
      </w:pPr>
    </w:p>
    <w:p w14:paraId="255F09FE" w14:textId="77777777" w:rsidR="00764752" w:rsidRPr="004D2838" w:rsidRDefault="00764752" w:rsidP="004D2838">
      <w:pPr>
        <w:spacing w:line="360" w:lineRule="auto"/>
        <w:jc w:val="both"/>
        <w:rPr>
          <w:sz w:val="28"/>
          <w:szCs w:val="28"/>
        </w:rPr>
      </w:pPr>
      <w:r>
        <w:rPr>
          <w:sz w:val="28"/>
          <w:szCs w:val="28"/>
        </w:rPr>
        <w:t xml:space="preserve"> </w:t>
      </w:r>
    </w:p>
    <w:tbl>
      <w:tblPr>
        <w:tblW w:w="7500" w:type="dxa"/>
        <w:tblInd w:w="720" w:type="dxa"/>
        <w:tblLayout w:type="fixed"/>
        <w:tblCellMar>
          <w:left w:w="0" w:type="dxa"/>
          <w:right w:w="0" w:type="dxa"/>
        </w:tblCellMar>
        <w:tblLook w:val="0000" w:firstRow="0" w:lastRow="0" w:firstColumn="0" w:lastColumn="0" w:noHBand="0" w:noVBand="0"/>
      </w:tblPr>
      <w:tblGrid>
        <w:gridCol w:w="2367"/>
        <w:gridCol w:w="3250"/>
        <w:gridCol w:w="371"/>
        <w:gridCol w:w="998"/>
        <w:gridCol w:w="114"/>
        <w:gridCol w:w="200"/>
        <w:gridCol w:w="57"/>
        <w:gridCol w:w="143"/>
      </w:tblGrid>
      <w:tr w:rsidR="00764752" w14:paraId="076B4BE7" w14:textId="77777777" w:rsidTr="00764752">
        <w:trPr>
          <w:trHeight w:val="144"/>
        </w:trPr>
        <w:tc>
          <w:tcPr>
            <w:tcW w:w="2367" w:type="dxa"/>
            <w:shd w:val="clear" w:color="auto" w:fill="auto"/>
            <w:vAlign w:val="bottom"/>
          </w:tcPr>
          <w:p w14:paraId="4A0F25E5" w14:textId="77777777" w:rsidR="00764752" w:rsidRPr="00A4164D" w:rsidRDefault="00764752" w:rsidP="008865CA">
            <w:pPr>
              <w:spacing w:line="0" w:lineRule="atLeast"/>
              <w:rPr>
                <w:sz w:val="8"/>
                <w:lang w:val="en-US"/>
              </w:rPr>
            </w:pPr>
          </w:p>
        </w:tc>
        <w:tc>
          <w:tcPr>
            <w:tcW w:w="3250" w:type="dxa"/>
            <w:shd w:val="clear" w:color="auto" w:fill="auto"/>
            <w:vAlign w:val="bottom"/>
          </w:tcPr>
          <w:p w14:paraId="422DAD1D" w14:textId="77777777" w:rsidR="00764752" w:rsidRPr="00A4164D" w:rsidRDefault="00764752" w:rsidP="008865CA">
            <w:pPr>
              <w:spacing w:line="0" w:lineRule="atLeast"/>
              <w:rPr>
                <w:sz w:val="8"/>
                <w:lang w:val="en-US"/>
              </w:rPr>
            </w:pPr>
          </w:p>
        </w:tc>
        <w:tc>
          <w:tcPr>
            <w:tcW w:w="371" w:type="dxa"/>
            <w:shd w:val="clear" w:color="auto" w:fill="auto"/>
            <w:vAlign w:val="bottom"/>
          </w:tcPr>
          <w:p w14:paraId="6D571317" w14:textId="77777777" w:rsidR="00764752" w:rsidRPr="00A4164D" w:rsidRDefault="00764752" w:rsidP="008865CA">
            <w:pPr>
              <w:spacing w:line="0" w:lineRule="atLeast"/>
              <w:rPr>
                <w:sz w:val="8"/>
                <w:lang w:val="en-US"/>
              </w:rPr>
            </w:pPr>
          </w:p>
        </w:tc>
        <w:tc>
          <w:tcPr>
            <w:tcW w:w="998" w:type="dxa"/>
            <w:vMerge w:val="restart"/>
            <w:shd w:val="clear" w:color="auto" w:fill="auto"/>
            <w:vAlign w:val="bottom"/>
          </w:tcPr>
          <w:p w14:paraId="4084463A" w14:textId="77777777" w:rsidR="00764752" w:rsidRDefault="00764752" w:rsidP="008865CA">
            <w:pPr>
              <w:spacing w:line="0" w:lineRule="atLeast"/>
              <w:ind w:right="246"/>
              <w:jc w:val="center"/>
              <w:rPr>
                <w:i/>
                <w:w w:val="85"/>
                <w:sz w:val="14"/>
              </w:rPr>
            </w:pPr>
            <w:r>
              <w:rPr>
                <w:i/>
                <w:w w:val="85"/>
                <w:sz w:val="14"/>
              </w:rPr>
              <w:t>N</w:t>
            </w:r>
          </w:p>
        </w:tc>
        <w:tc>
          <w:tcPr>
            <w:tcW w:w="114" w:type="dxa"/>
            <w:shd w:val="clear" w:color="auto" w:fill="auto"/>
            <w:vAlign w:val="bottom"/>
          </w:tcPr>
          <w:p w14:paraId="2D86F610" w14:textId="77777777" w:rsidR="00764752" w:rsidRDefault="00764752" w:rsidP="008865CA">
            <w:pPr>
              <w:spacing w:line="0" w:lineRule="atLeast"/>
              <w:rPr>
                <w:sz w:val="8"/>
              </w:rPr>
            </w:pPr>
          </w:p>
        </w:tc>
        <w:tc>
          <w:tcPr>
            <w:tcW w:w="200" w:type="dxa"/>
            <w:tcBorders>
              <w:bottom w:val="single" w:sz="8" w:space="0" w:color="auto"/>
            </w:tcBorders>
            <w:shd w:val="clear" w:color="auto" w:fill="auto"/>
            <w:vAlign w:val="bottom"/>
          </w:tcPr>
          <w:p w14:paraId="2D9A993B" w14:textId="77777777" w:rsidR="00764752" w:rsidRDefault="00764752" w:rsidP="008865CA">
            <w:pPr>
              <w:spacing w:line="0" w:lineRule="atLeast"/>
              <w:rPr>
                <w:sz w:val="8"/>
              </w:rPr>
            </w:pPr>
          </w:p>
        </w:tc>
        <w:tc>
          <w:tcPr>
            <w:tcW w:w="57" w:type="dxa"/>
            <w:shd w:val="clear" w:color="auto" w:fill="auto"/>
            <w:vAlign w:val="bottom"/>
          </w:tcPr>
          <w:p w14:paraId="1EF548F9" w14:textId="77777777" w:rsidR="00764752" w:rsidRDefault="00764752" w:rsidP="008865CA">
            <w:pPr>
              <w:spacing w:line="0" w:lineRule="atLeast"/>
              <w:rPr>
                <w:sz w:val="8"/>
              </w:rPr>
            </w:pPr>
          </w:p>
        </w:tc>
        <w:tc>
          <w:tcPr>
            <w:tcW w:w="143" w:type="dxa"/>
            <w:shd w:val="clear" w:color="auto" w:fill="auto"/>
            <w:vAlign w:val="bottom"/>
          </w:tcPr>
          <w:p w14:paraId="42FD3872" w14:textId="77777777" w:rsidR="00764752" w:rsidRDefault="00764752" w:rsidP="008865CA">
            <w:pPr>
              <w:spacing w:line="0" w:lineRule="atLeast"/>
              <w:rPr>
                <w:sz w:val="8"/>
              </w:rPr>
            </w:pPr>
          </w:p>
        </w:tc>
      </w:tr>
      <w:tr w:rsidR="00764752" w14:paraId="20F91A93" w14:textId="77777777" w:rsidTr="00764752">
        <w:trPr>
          <w:trHeight w:val="61"/>
        </w:trPr>
        <w:tc>
          <w:tcPr>
            <w:tcW w:w="2367" w:type="dxa"/>
            <w:shd w:val="clear" w:color="auto" w:fill="auto"/>
            <w:vAlign w:val="bottom"/>
          </w:tcPr>
          <w:p w14:paraId="3A4B9245" w14:textId="77777777" w:rsidR="00764752" w:rsidRDefault="00764752" w:rsidP="008865CA">
            <w:pPr>
              <w:spacing w:line="0" w:lineRule="atLeast"/>
              <w:rPr>
                <w:sz w:val="3"/>
              </w:rPr>
            </w:pPr>
          </w:p>
        </w:tc>
        <w:tc>
          <w:tcPr>
            <w:tcW w:w="3250" w:type="dxa"/>
            <w:shd w:val="clear" w:color="auto" w:fill="auto"/>
            <w:vAlign w:val="bottom"/>
          </w:tcPr>
          <w:p w14:paraId="00372122" w14:textId="77777777" w:rsidR="00764752" w:rsidRDefault="00764752" w:rsidP="008865CA">
            <w:pPr>
              <w:spacing w:line="0" w:lineRule="atLeast"/>
              <w:rPr>
                <w:sz w:val="3"/>
              </w:rPr>
            </w:pPr>
          </w:p>
        </w:tc>
        <w:tc>
          <w:tcPr>
            <w:tcW w:w="371" w:type="dxa"/>
            <w:vMerge w:val="restart"/>
            <w:shd w:val="clear" w:color="auto" w:fill="auto"/>
            <w:vAlign w:val="bottom"/>
          </w:tcPr>
          <w:p w14:paraId="5DFED471" w14:textId="77777777" w:rsidR="00764752" w:rsidRDefault="00764752" w:rsidP="008865CA">
            <w:pPr>
              <w:spacing w:line="204" w:lineRule="exact"/>
              <w:ind w:left="60"/>
              <w:rPr>
                <w:sz w:val="23"/>
              </w:rPr>
            </w:pPr>
            <w:r>
              <w:rPr>
                <w:sz w:val="23"/>
              </w:rPr>
              <w:t>1</w:t>
            </w:r>
          </w:p>
        </w:tc>
        <w:tc>
          <w:tcPr>
            <w:tcW w:w="998" w:type="dxa"/>
            <w:vMerge/>
            <w:shd w:val="clear" w:color="auto" w:fill="auto"/>
            <w:vAlign w:val="bottom"/>
          </w:tcPr>
          <w:p w14:paraId="1428CAA5" w14:textId="77777777" w:rsidR="00764752" w:rsidRDefault="00764752" w:rsidP="008865CA">
            <w:pPr>
              <w:spacing w:line="0" w:lineRule="atLeast"/>
              <w:rPr>
                <w:sz w:val="3"/>
              </w:rPr>
            </w:pPr>
          </w:p>
        </w:tc>
        <w:tc>
          <w:tcPr>
            <w:tcW w:w="114" w:type="dxa"/>
            <w:shd w:val="clear" w:color="auto" w:fill="auto"/>
            <w:vAlign w:val="bottom"/>
          </w:tcPr>
          <w:p w14:paraId="7BF2EAC3" w14:textId="77777777" w:rsidR="00764752" w:rsidRDefault="00764752" w:rsidP="008865CA">
            <w:pPr>
              <w:spacing w:line="0" w:lineRule="atLeast"/>
              <w:rPr>
                <w:sz w:val="3"/>
              </w:rPr>
            </w:pPr>
          </w:p>
        </w:tc>
        <w:tc>
          <w:tcPr>
            <w:tcW w:w="257" w:type="dxa"/>
            <w:gridSpan w:val="2"/>
            <w:vMerge w:val="restart"/>
            <w:shd w:val="clear" w:color="auto" w:fill="auto"/>
            <w:vAlign w:val="bottom"/>
          </w:tcPr>
          <w:p w14:paraId="31253E57" w14:textId="77777777" w:rsidR="00764752" w:rsidRDefault="00764752" w:rsidP="008865CA">
            <w:pPr>
              <w:spacing w:line="204" w:lineRule="exact"/>
              <w:rPr>
                <w:i/>
                <w:strike/>
                <w:sz w:val="23"/>
              </w:rPr>
            </w:pPr>
            <w:r>
              <w:rPr>
                <w:i/>
                <w:strike/>
                <w:sz w:val="23"/>
              </w:rPr>
              <w:t>y</w:t>
            </w:r>
          </w:p>
        </w:tc>
        <w:tc>
          <w:tcPr>
            <w:tcW w:w="143" w:type="dxa"/>
            <w:shd w:val="clear" w:color="auto" w:fill="auto"/>
            <w:vAlign w:val="bottom"/>
          </w:tcPr>
          <w:p w14:paraId="7CD5610D" w14:textId="77777777" w:rsidR="00764752" w:rsidRDefault="00764752" w:rsidP="008865CA">
            <w:pPr>
              <w:spacing w:line="0" w:lineRule="atLeast"/>
              <w:rPr>
                <w:sz w:val="3"/>
              </w:rPr>
            </w:pPr>
          </w:p>
        </w:tc>
      </w:tr>
      <w:tr w:rsidR="00764752" w14:paraId="3E4A65F1" w14:textId="77777777" w:rsidTr="00764752">
        <w:trPr>
          <w:trHeight w:val="257"/>
        </w:trPr>
        <w:tc>
          <w:tcPr>
            <w:tcW w:w="2367" w:type="dxa"/>
            <w:vMerge w:val="restart"/>
            <w:shd w:val="clear" w:color="auto" w:fill="auto"/>
            <w:vAlign w:val="bottom"/>
          </w:tcPr>
          <w:p w14:paraId="0F7D2DC8" w14:textId="77777777" w:rsidR="00764752" w:rsidRDefault="00764752" w:rsidP="008865CA">
            <w:pPr>
              <w:spacing w:line="244" w:lineRule="exact"/>
              <w:ind w:right="1130"/>
              <w:jc w:val="right"/>
              <w:rPr>
                <w:w w:val="94"/>
                <w:sz w:val="22"/>
              </w:rPr>
            </w:pPr>
            <w:r>
              <w:rPr>
                <w:w w:val="94"/>
                <w:sz w:val="22"/>
              </w:rPr>
              <w:t>(</w:t>
            </w:r>
            <w:r>
              <w:rPr>
                <w:w w:val="94"/>
                <w:sz w:val="22"/>
                <w:lang w:val="en-US"/>
              </w:rPr>
              <w:t>1</w:t>
            </w:r>
            <w:r>
              <w:rPr>
                <w:w w:val="94"/>
                <w:sz w:val="22"/>
              </w:rPr>
              <w:t>.5)</w:t>
            </w:r>
          </w:p>
        </w:tc>
        <w:tc>
          <w:tcPr>
            <w:tcW w:w="3250" w:type="dxa"/>
            <w:vMerge w:val="restart"/>
            <w:shd w:val="clear" w:color="auto" w:fill="auto"/>
            <w:vAlign w:val="bottom"/>
          </w:tcPr>
          <w:p w14:paraId="505203DC" w14:textId="77777777" w:rsidR="00764752" w:rsidRDefault="00764752" w:rsidP="008865CA">
            <w:pPr>
              <w:spacing w:line="244" w:lineRule="exact"/>
              <w:ind w:left="1260"/>
              <w:rPr>
                <w:rFonts w:ascii="Arial" w:eastAsia="Arial" w:hAnsi="Arial"/>
              </w:rPr>
            </w:pPr>
            <w:r>
              <w:rPr>
                <w:i/>
              </w:rPr>
              <w:t xml:space="preserve">G E </w:t>
            </w:r>
            <w:r>
              <w:t>(0 )</w:t>
            </w:r>
            <w:r>
              <w:rPr>
                <w:i/>
              </w:rPr>
              <w:t xml:space="preserve"> </w:t>
            </w:r>
            <w:r>
              <w:rPr>
                <w:rFonts w:ascii="Arial" w:eastAsia="Arial" w:hAnsi="Arial"/>
              </w:rPr>
              <w:t>=</w:t>
            </w:r>
          </w:p>
        </w:tc>
        <w:tc>
          <w:tcPr>
            <w:tcW w:w="371" w:type="dxa"/>
            <w:vMerge/>
            <w:tcBorders>
              <w:bottom w:val="single" w:sz="8" w:space="0" w:color="auto"/>
            </w:tcBorders>
            <w:shd w:val="clear" w:color="auto" w:fill="auto"/>
            <w:vAlign w:val="bottom"/>
          </w:tcPr>
          <w:p w14:paraId="756ADD38" w14:textId="77777777" w:rsidR="00764752" w:rsidRDefault="00764752" w:rsidP="008865CA">
            <w:pPr>
              <w:spacing w:line="0" w:lineRule="atLeast"/>
              <w:rPr>
                <w:sz w:val="15"/>
              </w:rPr>
            </w:pPr>
          </w:p>
        </w:tc>
        <w:tc>
          <w:tcPr>
            <w:tcW w:w="998" w:type="dxa"/>
            <w:vMerge w:val="restart"/>
            <w:shd w:val="clear" w:color="auto" w:fill="auto"/>
            <w:vAlign w:val="bottom"/>
          </w:tcPr>
          <w:p w14:paraId="1FB5A66E" w14:textId="77777777" w:rsidR="00764752" w:rsidRDefault="00764752" w:rsidP="008865CA">
            <w:pPr>
              <w:spacing w:line="243" w:lineRule="exact"/>
              <w:ind w:left="40"/>
              <w:rPr>
                <w:sz w:val="19"/>
              </w:rPr>
            </w:pPr>
            <w:r>
              <w:rPr>
                <w:rFonts w:ascii="Arial" w:eastAsia="Arial" w:hAnsi="Arial"/>
                <w:sz w:val="28"/>
              </w:rPr>
              <w:t xml:space="preserve">∑ </w:t>
            </w:r>
            <w:r>
              <w:rPr>
                <w:sz w:val="19"/>
              </w:rPr>
              <w:t>ln(</w:t>
            </w:r>
          </w:p>
        </w:tc>
        <w:tc>
          <w:tcPr>
            <w:tcW w:w="114" w:type="dxa"/>
            <w:tcBorders>
              <w:bottom w:val="single" w:sz="8" w:space="0" w:color="auto"/>
            </w:tcBorders>
            <w:shd w:val="clear" w:color="auto" w:fill="auto"/>
            <w:vAlign w:val="bottom"/>
          </w:tcPr>
          <w:p w14:paraId="16BE91D2" w14:textId="77777777" w:rsidR="00764752" w:rsidRDefault="00764752" w:rsidP="008865CA">
            <w:pPr>
              <w:spacing w:line="0" w:lineRule="atLeast"/>
              <w:rPr>
                <w:sz w:val="15"/>
              </w:rPr>
            </w:pPr>
          </w:p>
        </w:tc>
        <w:tc>
          <w:tcPr>
            <w:tcW w:w="257" w:type="dxa"/>
            <w:gridSpan w:val="2"/>
            <w:vMerge/>
            <w:tcBorders>
              <w:bottom w:val="single" w:sz="8" w:space="0" w:color="auto"/>
            </w:tcBorders>
            <w:shd w:val="clear" w:color="auto" w:fill="auto"/>
            <w:vAlign w:val="bottom"/>
          </w:tcPr>
          <w:p w14:paraId="27ECE02F" w14:textId="77777777" w:rsidR="00764752" w:rsidRDefault="00764752" w:rsidP="008865CA">
            <w:pPr>
              <w:spacing w:line="0" w:lineRule="atLeast"/>
              <w:rPr>
                <w:sz w:val="15"/>
              </w:rPr>
            </w:pPr>
          </w:p>
        </w:tc>
        <w:tc>
          <w:tcPr>
            <w:tcW w:w="143" w:type="dxa"/>
            <w:vMerge w:val="restart"/>
            <w:shd w:val="clear" w:color="auto" w:fill="auto"/>
            <w:vAlign w:val="bottom"/>
          </w:tcPr>
          <w:p w14:paraId="45613C12" w14:textId="77777777" w:rsidR="00764752" w:rsidRDefault="00764752" w:rsidP="008865CA">
            <w:pPr>
              <w:spacing w:line="243" w:lineRule="exact"/>
              <w:jc w:val="right"/>
              <w:rPr>
                <w:w w:val="99"/>
              </w:rPr>
            </w:pPr>
            <w:r>
              <w:rPr>
                <w:w w:val="99"/>
              </w:rPr>
              <w:t>)</w:t>
            </w:r>
          </w:p>
        </w:tc>
      </w:tr>
      <w:tr w:rsidR="00764752" w14:paraId="0D9DE900" w14:textId="77777777" w:rsidTr="00764752">
        <w:trPr>
          <w:trHeight w:val="68"/>
        </w:trPr>
        <w:tc>
          <w:tcPr>
            <w:tcW w:w="2367" w:type="dxa"/>
            <w:vMerge/>
            <w:shd w:val="clear" w:color="auto" w:fill="auto"/>
            <w:vAlign w:val="bottom"/>
          </w:tcPr>
          <w:p w14:paraId="47359B81" w14:textId="77777777" w:rsidR="00764752" w:rsidRDefault="00764752" w:rsidP="008865CA">
            <w:pPr>
              <w:spacing w:line="0" w:lineRule="atLeast"/>
              <w:rPr>
                <w:sz w:val="4"/>
              </w:rPr>
            </w:pPr>
          </w:p>
        </w:tc>
        <w:tc>
          <w:tcPr>
            <w:tcW w:w="3250" w:type="dxa"/>
            <w:vMerge/>
            <w:shd w:val="clear" w:color="auto" w:fill="auto"/>
            <w:vAlign w:val="bottom"/>
          </w:tcPr>
          <w:p w14:paraId="6E9B6C3E" w14:textId="77777777" w:rsidR="00764752" w:rsidRDefault="00764752" w:rsidP="008865CA">
            <w:pPr>
              <w:spacing w:line="0" w:lineRule="atLeast"/>
              <w:rPr>
                <w:sz w:val="4"/>
              </w:rPr>
            </w:pPr>
          </w:p>
        </w:tc>
        <w:tc>
          <w:tcPr>
            <w:tcW w:w="371" w:type="dxa"/>
            <w:vMerge w:val="restart"/>
            <w:shd w:val="clear" w:color="auto" w:fill="auto"/>
            <w:vAlign w:val="bottom"/>
          </w:tcPr>
          <w:p w14:paraId="5B947232" w14:textId="77777777" w:rsidR="00764752" w:rsidRDefault="00764752" w:rsidP="008865CA">
            <w:pPr>
              <w:spacing w:line="0" w:lineRule="atLeast"/>
              <w:ind w:left="20"/>
              <w:rPr>
                <w:i/>
              </w:rPr>
            </w:pPr>
            <w:r>
              <w:rPr>
                <w:i/>
              </w:rPr>
              <w:t>N</w:t>
            </w:r>
          </w:p>
        </w:tc>
        <w:tc>
          <w:tcPr>
            <w:tcW w:w="998" w:type="dxa"/>
            <w:vMerge/>
            <w:shd w:val="clear" w:color="auto" w:fill="auto"/>
            <w:vAlign w:val="bottom"/>
          </w:tcPr>
          <w:p w14:paraId="68EDC2C0" w14:textId="77777777" w:rsidR="00764752" w:rsidRDefault="00764752" w:rsidP="008865CA">
            <w:pPr>
              <w:spacing w:line="0" w:lineRule="atLeast"/>
              <w:rPr>
                <w:sz w:val="4"/>
              </w:rPr>
            </w:pPr>
          </w:p>
        </w:tc>
        <w:tc>
          <w:tcPr>
            <w:tcW w:w="114" w:type="dxa"/>
            <w:shd w:val="clear" w:color="auto" w:fill="auto"/>
            <w:vAlign w:val="bottom"/>
          </w:tcPr>
          <w:p w14:paraId="045530BF" w14:textId="77777777" w:rsidR="00764752" w:rsidRDefault="00764752" w:rsidP="008865CA">
            <w:pPr>
              <w:spacing w:line="0" w:lineRule="atLeast"/>
              <w:rPr>
                <w:sz w:val="4"/>
              </w:rPr>
            </w:pPr>
          </w:p>
        </w:tc>
        <w:tc>
          <w:tcPr>
            <w:tcW w:w="200" w:type="dxa"/>
            <w:shd w:val="clear" w:color="auto" w:fill="auto"/>
            <w:vAlign w:val="bottom"/>
          </w:tcPr>
          <w:p w14:paraId="533BBF91" w14:textId="77777777" w:rsidR="00764752" w:rsidRDefault="00764752" w:rsidP="008865CA">
            <w:pPr>
              <w:spacing w:line="0" w:lineRule="atLeast"/>
              <w:rPr>
                <w:sz w:val="4"/>
              </w:rPr>
            </w:pPr>
          </w:p>
        </w:tc>
        <w:tc>
          <w:tcPr>
            <w:tcW w:w="57" w:type="dxa"/>
            <w:shd w:val="clear" w:color="auto" w:fill="auto"/>
            <w:vAlign w:val="bottom"/>
          </w:tcPr>
          <w:p w14:paraId="3630EFA6" w14:textId="77777777" w:rsidR="00764752" w:rsidRDefault="00764752" w:rsidP="008865CA">
            <w:pPr>
              <w:spacing w:line="0" w:lineRule="atLeast"/>
              <w:rPr>
                <w:sz w:val="4"/>
              </w:rPr>
            </w:pPr>
          </w:p>
        </w:tc>
        <w:tc>
          <w:tcPr>
            <w:tcW w:w="143" w:type="dxa"/>
            <w:vMerge/>
            <w:shd w:val="clear" w:color="auto" w:fill="auto"/>
            <w:vAlign w:val="bottom"/>
          </w:tcPr>
          <w:p w14:paraId="0E668235" w14:textId="77777777" w:rsidR="00764752" w:rsidRDefault="00764752" w:rsidP="008865CA">
            <w:pPr>
              <w:spacing w:line="0" w:lineRule="atLeast"/>
              <w:rPr>
                <w:sz w:val="4"/>
              </w:rPr>
            </w:pPr>
          </w:p>
        </w:tc>
      </w:tr>
      <w:tr w:rsidR="00764752" w14:paraId="535697F7" w14:textId="77777777" w:rsidTr="00764752">
        <w:trPr>
          <w:trHeight w:val="534"/>
        </w:trPr>
        <w:tc>
          <w:tcPr>
            <w:tcW w:w="2367" w:type="dxa"/>
            <w:shd w:val="clear" w:color="auto" w:fill="auto"/>
            <w:vAlign w:val="bottom"/>
          </w:tcPr>
          <w:p w14:paraId="7E004BE2" w14:textId="77777777" w:rsidR="00764752" w:rsidRDefault="00764752" w:rsidP="008865CA">
            <w:pPr>
              <w:spacing w:line="0" w:lineRule="atLeast"/>
            </w:pPr>
          </w:p>
        </w:tc>
        <w:tc>
          <w:tcPr>
            <w:tcW w:w="3250" w:type="dxa"/>
            <w:shd w:val="clear" w:color="auto" w:fill="auto"/>
            <w:vAlign w:val="bottom"/>
          </w:tcPr>
          <w:p w14:paraId="6C6C27B7" w14:textId="77777777" w:rsidR="00764752" w:rsidRDefault="00764752" w:rsidP="008865CA">
            <w:pPr>
              <w:spacing w:line="0" w:lineRule="atLeast"/>
            </w:pPr>
          </w:p>
        </w:tc>
        <w:tc>
          <w:tcPr>
            <w:tcW w:w="371" w:type="dxa"/>
            <w:vMerge/>
            <w:shd w:val="clear" w:color="auto" w:fill="auto"/>
            <w:vAlign w:val="bottom"/>
          </w:tcPr>
          <w:p w14:paraId="0C3C992F" w14:textId="77777777" w:rsidR="00764752" w:rsidRDefault="00764752" w:rsidP="008865CA">
            <w:pPr>
              <w:spacing w:line="0" w:lineRule="atLeast"/>
            </w:pPr>
          </w:p>
        </w:tc>
        <w:tc>
          <w:tcPr>
            <w:tcW w:w="998" w:type="dxa"/>
            <w:shd w:val="clear" w:color="auto" w:fill="auto"/>
            <w:vAlign w:val="bottom"/>
          </w:tcPr>
          <w:p w14:paraId="0BCD63BD" w14:textId="77777777" w:rsidR="00764752" w:rsidRDefault="00764752" w:rsidP="008865CA">
            <w:pPr>
              <w:spacing w:line="0" w:lineRule="atLeast"/>
              <w:ind w:right="206"/>
              <w:jc w:val="center"/>
              <w:rPr>
                <w:w w:val="88"/>
                <w:sz w:val="14"/>
              </w:rPr>
            </w:pPr>
            <w:r>
              <w:rPr>
                <w:i/>
                <w:w w:val="88"/>
                <w:sz w:val="14"/>
              </w:rPr>
              <w:t xml:space="preserve">i </w:t>
            </w:r>
            <w:r>
              <w:rPr>
                <w:rFonts w:ascii="Arial" w:eastAsia="Arial" w:hAnsi="Arial"/>
                <w:w w:val="88"/>
                <w:sz w:val="14"/>
              </w:rPr>
              <w:t>=</w:t>
            </w:r>
            <w:r>
              <w:rPr>
                <w:w w:val="88"/>
                <w:sz w:val="14"/>
              </w:rPr>
              <w:t>1</w:t>
            </w:r>
          </w:p>
        </w:tc>
        <w:tc>
          <w:tcPr>
            <w:tcW w:w="513" w:type="dxa"/>
            <w:gridSpan w:val="4"/>
            <w:shd w:val="clear" w:color="auto" w:fill="auto"/>
            <w:vAlign w:val="bottom"/>
          </w:tcPr>
          <w:p w14:paraId="6177FDF5" w14:textId="77777777" w:rsidR="00764752" w:rsidRDefault="00764752" w:rsidP="008865CA">
            <w:pPr>
              <w:spacing w:line="0" w:lineRule="atLeast"/>
              <w:ind w:left="60"/>
              <w:rPr>
                <w:i/>
                <w:sz w:val="27"/>
                <w:vertAlign w:val="subscript"/>
              </w:rPr>
            </w:pPr>
            <w:r>
              <w:rPr>
                <w:i/>
              </w:rPr>
              <w:t>y</w:t>
            </w:r>
            <w:r>
              <w:rPr>
                <w:i/>
                <w:sz w:val="27"/>
                <w:vertAlign w:val="subscript"/>
              </w:rPr>
              <w:t>i</w:t>
            </w:r>
          </w:p>
        </w:tc>
      </w:tr>
    </w:tbl>
    <w:p w14:paraId="3C10B127" w14:textId="77777777" w:rsidR="004D2838" w:rsidRDefault="004D2838" w:rsidP="004D2838">
      <w:pPr>
        <w:spacing w:line="360" w:lineRule="auto"/>
        <w:jc w:val="both"/>
        <w:rPr>
          <w:sz w:val="28"/>
          <w:szCs w:val="28"/>
        </w:rPr>
      </w:pPr>
    </w:p>
    <w:p w14:paraId="6768F783" w14:textId="77777777" w:rsidR="00764752" w:rsidRDefault="00764752" w:rsidP="004D2838">
      <w:pPr>
        <w:spacing w:line="360" w:lineRule="auto"/>
        <w:jc w:val="both"/>
        <w:rPr>
          <w:sz w:val="28"/>
          <w:szCs w:val="28"/>
        </w:rPr>
      </w:pPr>
    </w:p>
    <w:p w14:paraId="40EC4E55" w14:textId="77777777" w:rsidR="00764752" w:rsidRDefault="00764752" w:rsidP="00764752">
      <w:pPr>
        <w:spacing w:line="360" w:lineRule="auto"/>
        <w:rPr>
          <w:b/>
          <w:sz w:val="28"/>
          <w:szCs w:val="28"/>
        </w:rPr>
      </w:pPr>
    </w:p>
    <w:p w14:paraId="49BD6EB0" w14:textId="77777777" w:rsidR="00BA5E47" w:rsidRPr="00764752" w:rsidRDefault="00BA5E47" w:rsidP="00764752">
      <w:pPr>
        <w:spacing w:line="360" w:lineRule="auto"/>
        <w:rPr>
          <w:b/>
          <w:sz w:val="28"/>
          <w:szCs w:val="28"/>
        </w:rPr>
      </w:pPr>
    </w:p>
    <w:p w14:paraId="4485E261" w14:textId="77777777" w:rsidR="00764752" w:rsidRDefault="00764752" w:rsidP="00764752">
      <w:pPr>
        <w:spacing w:line="360" w:lineRule="auto"/>
        <w:rPr>
          <w:b/>
          <w:sz w:val="28"/>
          <w:szCs w:val="28"/>
        </w:rPr>
      </w:pPr>
      <w:r w:rsidRPr="00764752">
        <w:rPr>
          <w:b/>
          <w:sz w:val="28"/>
          <w:szCs w:val="28"/>
        </w:rPr>
        <w:t>Atkinson's inequality measures</w:t>
      </w:r>
    </w:p>
    <w:p w14:paraId="5F4A725C" w14:textId="77777777" w:rsidR="00764752" w:rsidRDefault="00764752" w:rsidP="00764752">
      <w:pPr>
        <w:spacing w:line="360" w:lineRule="auto"/>
        <w:rPr>
          <w:b/>
          <w:sz w:val="28"/>
          <w:szCs w:val="28"/>
        </w:rPr>
      </w:pPr>
    </w:p>
    <w:p w14:paraId="46122C6E" w14:textId="77777777" w:rsidR="00764752" w:rsidRDefault="00764752" w:rsidP="00764752">
      <w:pPr>
        <w:spacing w:line="360" w:lineRule="auto"/>
        <w:rPr>
          <w:sz w:val="28"/>
          <w:szCs w:val="28"/>
        </w:rPr>
      </w:pPr>
    </w:p>
    <w:p w14:paraId="423F5F36" w14:textId="77777777" w:rsidR="00713EDC" w:rsidRDefault="00713EDC" w:rsidP="00BA5E47">
      <w:pPr>
        <w:spacing w:line="360" w:lineRule="auto"/>
        <w:ind w:firstLine="720"/>
        <w:jc w:val="both"/>
        <w:rPr>
          <w:sz w:val="28"/>
          <w:szCs w:val="28"/>
        </w:rPr>
      </w:pPr>
      <w:r w:rsidRPr="00713EDC">
        <w:rPr>
          <w:sz w:val="28"/>
          <w:szCs w:val="28"/>
        </w:rPr>
        <w:t>Atkinson has proposed another class of measures of inequality that are occasionally used. This class also has a weighting parameter π (measuring aversion to inequality) and some of its theoretical properties are similar to those of the extended index of Gini.</w:t>
      </w:r>
    </w:p>
    <w:p w14:paraId="14348000" w14:textId="77777777" w:rsidR="00713EDC" w:rsidRDefault="00713EDC" w:rsidP="00713EDC">
      <w:pPr>
        <w:spacing w:line="360" w:lineRule="auto"/>
        <w:jc w:val="both"/>
        <w:rPr>
          <w:sz w:val="28"/>
          <w:szCs w:val="28"/>
        </w:rPr>
      </w:pPr>
    </w:p>
    <w:p w14:paraId="3D1F2A43" w14:textId="77777777" w:rsidR="00713EDC" w:rsidRDefault="00713EDC" w:rsidP="00713EDC">
      <w:pPr>
        <w:spacing w:line="360" w:lineRule="auto"/>
        <w:jc w:val="both"/>
        <w:rPr>
          <w:sz w:val="28"/>
          <w:szCs w:val="28"/>
        </w:rPr>
      </w:pPr>
    </w:p>
    <w:tbl>
      <w:tblPr>
        <w:tblW w:w="8956" w:type="dxa"/>
        <w:tblLayout w:type="fixed"/>
        <w:tblCellMar>
          <w:left w:w="0" w:type="dxa"/>
          <w:right w:w="0" w:type="dxa"/>
        </w:tblCellMar>
        <w:tblLook w:val="0000" w:firstRow="0" w:lastRow="0" w:firstColumn="0" w:lastColumn="0" w:noHBand="0" w:noVBand="0"/>
      </w:tblPr>
      <w:tblGrid>
        <w:gridCol w:w="5036"/>
        <w:gridCol w:w="289"/>
        <w:gridCol w:w="144"/>
        <w:gridCol w:w="317"/>
        <w:gridCol w:w="115"/>
        <w:gridCol w:w="173"/>
        <w:gridCol w:w="144"/>
        <w:gridCol w:w="202"/>
        <w:gridCol w:w="87"/>
        <w:gridCol w:w="115"/>
        <w:gridCol w:w="58"/>
        <w:gridCol w:w="58"/>
        <w:gridCol w:w="29"/>
        <w:gridCol w:w="345"/>
        <w:gridCol w:w="980"/>
        <w:gridCol w:w="864"/>
      </w:tblGrid>
      <w:tr w:rsidR="00713EDC" w14:paraId="41FD9D73" w14:textId="77777777" w:rsidTr="00713EDC">
        <w:trPr>
          <w:trHeight w:val="583"/>
        </w:trPr>
        <w:tc>
          <w:tcPr>
            <w:tcW w:w="5037" w:type="dxa"/>
            <w:shd w:val="clear" w:color="auto" w:fill="auto"/>
            <w:vAlign w:val="bottom"/>
          </w:tcPr>
          <w:p w14:paraId="6FA510E6" w14:textId="77777777" w:rsidR="00713EDC" w:rsidRPr="00A4164D" w:rsidRDefault="00713EDC" w:rsidP="008865CA">
            <w:pPr>
              <w:spacing w:line="0" w:lineRule="atLeast"/>
              <w:rPr>
                <w:lang w:val="en-US"/>
              </w:rPr>
            </w:pPr>
          </w:p>
        </w:tc>
        <w:tc>
          <w:tcPr>
            <w:tcW w:w="748" w:type="dxa"/>
            <w:gridSpan w:val="3"/>
            <w:shd w:val="clear" w:color="auto" w:fill="auto"/>
            <w:vAlign w:val="bottom"/>
          </w:tcPr>
          <w:p w14:paraId="2A86291D" w14:textId="77777777" w:rsidR="00713EDC" w:rsidRPr="00A4164D" w:rsidRDefault="00713EDC" w:rsidP="008865CA">
            <w:pPr>
              <w:spacing w:line="0" w:lineRule="atLeast"/>
              <w:rPr>
                <w:lang w:val="en-US"/>
              </w:rPr>
            </w:pPr>
          </w:p>
        </w:tc>
        <w:tc>
          <w:tcPr>
            <w:tcW w:w="115" w:type="dxa"/>
            <w:shd w:val="clear" w:color="auto" w:fill="auto"/>
            <w:vAlign w:val="bottom"/>
          </w:tcPr>
          <w:p w14:paraId="77E40430" w14:textId="77777777" w:rsidR="00713EDC" w:rsidRPr="00A4164D" w:rsidRDefault="00713EDC" w:rsidP="008865CA">
            <w:pPr>
              <w:spacing w:line="0" w:lineRule="atLeast"/>
              <w:rPr>
                <w:lang w:val="en-US"/>
              </w:rPr>
            </w:pPr>
          </w:p>
        </w:tc>
        <w:tc>
          <w:tcPr>
            <w:tcW w:w="317" w:type="dxa"/>
            <w:gridSpan w:val="2"/>
            <w:shd w:val="clear" w:color="auto" w:fill="auto"/>
            <w:vAlign w:val="bottom"/>
          </w:tcPr>
          <w:p w14:paraId="0181B0A9" w14:textId="77777777" w:rsidR="00713EDC" w:rsidRDefault="00713EDC" w:rsidP="008865CA">
            <w:pPr>
              <w:spacing w:line="0" w:lineRule="atLeast"/>
              <w:ind w:right="60"/>
              <w:jc w:val="center"/>
              <w:rPr>
                <w:i/>
                <w:w w:val="85"/>
                <w:sz w:val="14"/>
              </w:rPr>
            </w:pPr>
            <w:r>
              <w:rPr>
                <w:i/>
                <w:w w:val="85"/>
                <w:sz w:val="14"/>
              </w:rPr>
              <w:t>N</w:t>
            </w:r>
          </w:p>
        </w:tc>
        <w:tc>
          <w:tcPr>
            <w:tcW w:w="548" w:type="dxa"/>
            <w:gridSpan w:val="6"/>
            <w:shd w:val="clear" w:color="auto" w:fill="auto"/>
            <w:vAlign w:val="bottom"/>
          </w:tcPr>
          <w:p w14:paraId="6762E363" w14:textId="77777777" w:rsidR="00713EDC" w:rsidRDefault="00713EDC" w:rsidP="008865CA">
            <w:pPr>
              <w:spacing w:line="0" w:lineRule="atLeast"/>
            </w:pPr>
          </w:p>
        </w:tc>
        <w:tc>
          <w:tcPr>
            <w:tcW w:w="1325" w:type="dxa"/>
            <w:gridSpan w:val="2"/>
            <w:shd w:val="clear" w:color="auto" w:fill="auto"/>
            <w:vAlign w:val="bottom"/>
          </w:tcPr>
          <w:p w14:paraId="57BA3C4F" w14:textId="77777777" w:rsidR="00713EDC" w:rsidRDefault="00713EDC" w:rsidP="008865CA">
            <w:pPr>
              <w:spacing w:line="0" w:lineRule="atLeast"/>
              <w:ind w:left="20"/>
              <w:rPr>
                <w:sz w:val="14"/>
              </w:rPr>
            </w:pPr>
            <w:r>
              <w:rPr>
                <w:sz w:val="14"/>
              </w:rPr>
              <w:t>1</w:t>
            </w:r>
            <w:r>
              <w:rPr>
                <w:rFonts w:ascii="Arial" w:eastAsia="Arial" w:hAnsi="Arial"/>
                <w:sz w:val="14"/>
              </w:rPr>
              <w:t>−</w:t>
            </w:r>
            <w:r>
              <w:rPr>
                <w:rFonts w:ascii="Arial" w:eastAsia="Arial" w:hAnsi="Arial"/>
                <w:i/>
                <w:sz w:val="14"/>
              </w:rPr>
              <w:t>ε</w:t>
            </w:r>
            <w:r>
              <w:rPr>
                <w:sz w:val="14"/>
              </w:rPr>
              <w:t xml:space="preserve">   </w:t>
            </w:r>
            <w:r>
              <w:rPr>
                <w:sz w:val="27"/>
                <w:vertAlign w:val="superscript"/>
              </w:rPr>
              <w:t>1</w:t>
            </w:r>
            <w:r>
              <w:rPr>
                <w:sz w:val="14"/>
              </w:rPr>
              <w:t>(1</w:t>
            </w:r>
            <w:r>
              <w:rPr>
                <w:rFonts w:ascii="Arial" w:eastAsia="Arial" w:hAnsi="Arial"/>
                <w:sz w:val="14"/>
              </w:rPr>
              <w:t>−</w:t>
            </w:r>
            <w:r>
              <w:rPr>
                <w:rFonts w:ascii="Arial" w:eastAsia="Arial" w:hAnsi="Arial"/>
                <w:i/>
                <w:sz w:val="14"/>
              </w:rPr>
              <w:t>ε</w:t>
            </w:r>
            <w:r>
              <w:rPr>
                <w:sz w:val="14"/>
              </w:rPr>
              <w:t xml:space="preserve"> )</w:t>
            </w:r>
          </w:p>
        </w:tc>
        <w:tc>
          <w:tcPr>
            <w:tcW w:w="864" w:type="dxa"/>
            <w:shd w:val="clear" w:color="auto" w:fill="auto"/>
            <w:vAlign w:val="bottom"/>
          </w:tcPr>
          <w:p w14:paraId="1EA884DC" w14:textId="77777777" w:rsidR="00713EDC" w:rsidRDefault="00713EDC" w:rsidP="008865CA">
            <w:pPr>
              <w:spacing w:line="0" w:lineRule="atLeast"/>
            </w:pPr>
          </w:p>
        </w:tc>
      </w:tr>
      <w:tr w:rsidR="00713EDC" w14:paraId="3F535362" w14:textId="77777777" w:rsidTr="00713EDC">
        <w:trPr>
          <w:trHeight w:val="283"/>
        </w:trPr>
        <w:tc>
          <w:tcPr>
            <w:tcW w:w="5037" w:type="dxa"/>
            <w:vMerge w:val="restart"/>
            <w:shd w:val="clear" w:color="auto" w:fill="auto"/>
            <w:vAlign w:val="bottom"/>
          </w:tcPr>
          <w:p w14:paraId="398E2117" w14:textId="77777777" w:rsidR="00713EDC" w:rsidRDefault="00713EDC" w:rsidP="008865CA">
            <w:pPr>
              <w:spacing w:line="284" w:lineRule="exact"/>
              <w:jc w:val="right"/>
            </w:pPr>
            <w:r>
              <w:rPr>
                <w:i/>
              </w:rPr>
              <w:t>A</w:t>
            </w:r>
            <w:r>
              <w:rPr>
                <w:rFonts w:ascii="Arial" w:eastAsia="Arial" w:hAnsi="Arial"/>
                <w:i/>
                <w:sz w:val="27"/>
                <w:vertAlign w:val="subscript"/>
              </w:rPr>
              <w:t>ε</w:t>
            </w:r>
            <w:r>
              <w:rPr>
                <w:i/>
              </w:rPr>
              <w:t xml:space="preserve">  </w:t>
            </w:r>
            <w:r>
              <w:rPr>
                <w:rFonts w:ascii="Arial" w:eastAsia="Arial" w:hAnsi="Arial"/>
              </w:rPr>
              <w:t>=</w:t>
            </w:r>
            <w:r>
              <w:rPr>
                <w:i/>
              </w:rPr>
              <w:t xml:space="preserve"> </w:t>
            </w:r>
            <w:r>
              <w:t>1</w:t>
            </w:r>
          </w:p>
        </w:tc>
        <w:tc>
          <w:tcPr>
            <w:tcW w:w="432" w:type="dxa"/>
            <w:gridSpan w:val="2"/>
            <w:vMerge w:val="restart"/>
            <w:shd w:val="clear" w:color="auto" w:fill="auto"/>
            <w:vAlign w:val="bottom"/>
          </w:tcPr>
          <w:p w14:paraId="1C9840CE" w14:textId="77777777" w:rsidR="00713EDC" w:rsidRDefault="00713EDC" w:rsidP="008865CA">
            <w:pPr>
              <w:spacing w:line="0" w:lineRule="atLeast"/>
              <w:jc w:val="right"/>
              <w:rPr>
                <w:rFonts w:ascii="Arial" w:eastAsia="Arial" w:hAnsi="Arial"/>
              </w:rPr>
            </w:pPr>
            <w:r>
              <w:rPr>
                <w:rFonts w:ascii="Arial" w:eastAsia="Arial" w:hAnsi="Arial"/>
              </w:rPr>
              <w:t>−</w:t>
            </w:r>
          </w:p>
        </w:tc>
        <w:tc>
          <w:tcPr>
            <w:tcW w:w="317" w:type="dxa"/>
            <w:tcBorders>
              <w:bottom w:val="single" w:sz="8" w:space="0" w:color="auto"/>
            </w:tcBorders>
            <w:shd w:val="clear" w:color="auto" w:fill="auto"/>
            <w:vAlign w:val="bottom"/>
          </w:tcPr>
          <w:p w14:paraId="17FAE353" w14:textId="77777777" w:rsidR="00713EDC" w:rsidRDefault="00713EDC" w:rsidP="008865CA">
            <w:pPr>
              <w:spacing w:line="157" w:lineRule="exact"/>
              <w:jc w:val="right"/>
              <w:rPr>
                <w:sz w:val="18"/>
              </w:rPr>
            </w:pPr>
            <w:r>
              <w:rPr>
                <w:sz w:val="18"/>
              </w:rPr>
              <w:t>1</w:t>
            </w:r>
          </w:p>
        </w:tc>
        <w:tc>
          <w:tcPr>
            <w:tcW w:w="633" w:type="dxa"/>
            <w:gridSpan w:val="4"/>
            <w:vMerge w:val="restart"/>
            <w:shd w:val="clear" w:color="auto" w:fill="auto"/>
            <w:vAlign w:val="bottom"/>
          </w:tcPr>
          <w:p w14:paraId="0EEF9B61" w14:textId="77777777" w:rsidR="00713EDC" w:rsidRDefault="00713EDC" w:rsidP="008865CA">
            <w:pPr>
              <w:spacing w:line="283" w:lineRule="exact"/>
              <w:jc w:val="right"/>
              <w:rPr>
                <w:rFonts w:ascii="Arial" w:eastAsia="Arial" w:hAnsi="Arial"/>
                <w:sz w:val="32"/>
              </w:rPr>
            </w:pPr>
            <w:r>
              <w:rPr>
                <w:rFonts w:ascii="Arial" w:eastAsia="Arial" w:hAnsi="Arial"/>
                <w:sz w:val="32"/>
              </w:rPr>
              <w:t>∑</w:t>
            </w:r>
          </w:p>
        </w:tc>
        <w:tc>
          <w:tcPr>
            <w:tcW w:w="318" w:type="dxa"/>
            <w:gridSpan w:val="4"/>
            <w:tcBorders>
              <w:bottom w:val="single" w:sz="8" w:space="0" w:color="auto"/>
            </w:tcBorders>
            <w:shd w:val="clear" w:color="auto" w:fill="auto"/>
            <w:vAlign w:val="bottom"/>
          </w:tcPr>
          <w:p w14:paraId="1928A2DF" w14:textId="77777777" w:rsidR="00713EDC" w:rsidRDefault="00713EDC" w:rsidP="008865CA">
            <w:pPr>
              <w:spacing w:line="157" w:lineRule="exact"/>
              <w:ind w:right="40"/>
              <w:jc w:val="right"/>
              <w:rPr>
                <w:i/>
                <w:sz w:val="18"/>
                <w:vertAlign w:val="subscript"/>
              </w:rPr>
            </w:pPr>
            <w:r>
              <w:rPr>
                <w:i/>
                <w:sz w:val="16"/>
              </w:rPr>
              <w:t>y</w:t>
            </w:r>
            <w:r>
              <w:rPr>
                <w:i/>
                <w:sz w:val="18"/>
                <w:vertAlign w:val="subscript"/>
              </w:rPr>
              <w:t>i</w:t>
            </w:r>
          </w:p>
        </w:tc>
        <w:tc>
          <w:tcPr>
            <w:tcW w:w="29" w:type="dxa"/>
            <w:vMerge w:val="restart"/>
            <w:shd w:val="clear" w:color="auto" w:fill="auto"/>
            <w:vAlign w:val="bottom"/>
          </w:tcPr>
          <w:p w14:paraId="46FCF531" w14:textId="77777777" w:rsidR="00713EDC" w:rsidRDefault="00713EDC" w:rsidP="008865CA">
            <w:pPr>
              <w:spacing w:line="0" w:lineRule="atLeast"/>
              <w:rPr>
                <w:sz w:val="15"/>
              </w:rPr>
            </w:pPr>
          </w:p>
        </w:tc>
        <w:tc>
          <w:tcPr>
            <w:tcW w:w="345" w:type="dxa"/>
            <w:vMerge w:val="restart"/>
            <w:shd w:val="clear" w:color="auto" w:fill="auto"/>
            <w:vAlign w:val="bottom"/>
          </w:tcPr>
          <w:p w14:paraId="71572AC5" w14:textId="77777777" w:rsidR="00713EDC" w:rsidRDefault="00713EDC" w:rsidP="008865CA">
            <w:pPr>
              <w:spacing w:line="0" w:lineRule="atLeast"/>
              <w:rPr>
                <w:sz w:val="15"/>
              </w:rPr>
            </w:pPr>
          </w:p>
        </w:tc>
        <w:tc>
          <w:tcPr>
            <w:tcW w:w="980" w:type="dxa"/>
            <w:vMerge w:val="restart"/>
            <w:shd w:val="clear" w:color="auto" w:fill="auto"/>
            <w:vAlign w:val="bottom"/>
          </w:tcPr>
          <w:p w14:paraId="3810BCD4" w14:textId="77777777" w:rsidR="00713EDC" w:rsidRDefault="00713EDC" w:rsidP="008865CA">
            <w:pPr>
              <w:spacing w:line="0" w:lineRule="atLeast"/>
              <w:rPr>
                <w:sz w:val="15"/>
              </w:rPr>
            </w:pPr>
          </w:p>
        </w:tc>
        <w:tc>
          <w:tcPr>
            <w:tcW w:w="864" w:type="dxa"/>
            <w:vMerge w:val="restart"/>
            <w:shd w:val="clear" w:color="auto" w:fill="auto"/>
            <w:vAlign w:val="bottom"/>
          </w:tcPr>
          <w:p w14:paraId="7528F531" w14:textId="77777777" w:rsidR="00713EDC" w:rsidRDefault="00713EDC" w:rsidP="008865CA">
            <w:pPr>
              <w:spacing w:line="0" w:lineRule="atLeast"/>
              <w:jc w:val="right"/>
              <w:rPr>
                <w:w w:val="97"/>
              </w:rPr>
            </w:pPr>
            <w:r>
              <w:rPr>
                <w:w w:val="97"/>
              </w:rPr>
              <w:t xml:space="preserve">, </w:t>
            </w:r>
            <w:r>
              <w:rPr>
                <w:rFonts w:ascii="Arial" w:eastAsia="Arial" w:hAnsi="Arial"/>
                <w:i/>
                <w:w w:val="97"/>
              </w:rPr>
              <w:t>ε</w:t>
            </w:r>
            <w:r>
              <w:rPr>
                <w:w w:val="97"/>
              </w:rPr>
              <w:t xml:space="preserve"> </w:t>
            </w:r>
            <w:r>
              <w:rPr>
                <w:rFonts w:ascii="Arial" w:eastAsia="Arial" w:hAnsi="Arial"/>
                <w:w w:val="97"/>
              </w:rPr>
              <w:t>≠</w:t>
            </w:r>
            <w:r>
              <w:rPr>
                <w:w w:val="97"/>
              </w:rPr>
              <w:t xml:space="preserve"> 1</w:t>
            </w:r>
          </w:p>
        </w:tc>
      </w:tr>
      <w:tr w:rsidR="00713EDC" w14:paraId="3D6FE475" w14:textId="77777777" w:rsidTr="00713EDC">
        <w:trPr>
          <w:trHeight w:val="137"/>
        </w:trPr>
        <w:tc>
          <w:tcPr>
            <w:tcW w:w="5037" w:type="dxa"/>
            <w:vMerge/>
            <w:shd w:val="clear" w:color="auto" w:fill="auto"/>
            <w:vAlign w:val="bottom"/>
          </w:tcPr>
          <w:p w14:paraId="7AB2B6BB" w14:textId="77777777" w:rsidR="00713EDC" w:rsidRDefault="00713EDC" w:rsidP="008865CA">
            <w:pPr>
              <w:spacing w:line="0" w:lineRule="atLeast"/>
              <w:rPr>
                <w:sz w:val="7"/>
              </w:rPr>
            </w:pPr>
          </w:p>
        </w:tc>
        <w:tc>
          <w:tcPr>
            <w:tcW w:w="432" w:type="dxa"/>
            <w:gridSpan w:val="2"/>
            <w:vMerge/>
            <w:shd w:val="clear" w:color="auto" w:fill="auto"/>
            <w:vAlign w:val="bottom"/>
          </w:tcPr>
          <w:p w14:paraId="351925DC" w14:textId="77777777" w:rsidR="00713EDC" w:rsidRDefault="00713EDC" w:rsidP="008865CA">
            <w:pPr>
              <w:spacing w:line="0" w:lineRule="atLeast"/>
              <w:rPr>
                <w:sz w:val="7"/>
              </w:rPr>
            </w:pPr>
          </w:p>
        </w:tc>
        <w:tc>
          <w:tcPr>
            <w:tcW w:w="317" w:type="dxa"/>
            <w:shd w:val="clear" w:color="auto" w:fill="auto"/>
            <w:vAlign w:val="bottom"/>
          </w:tcPr>
          <w:p w14:paraId="20CE4190" w14:textId="77777777" w:rsidR="00713EDC" w:rsidRDefault="00713EDC" w:rsidP="008865CA">
            <w:pPr>
              <w:spacing w:line="0" w:lineRule="atLeast"/>
              <w:rPr>
                <w:sz w:val="7"/>
              </w:rPr>
            </w:pPr>
          </w:p>
        </w:tc>
        <w:tc>
          <w:tcPr>
            <w:tcW w:w="633" w:type="dxa"/>
            <w:gridSpan w:val="4"/>
            <w:vMerge/>
            <w:shd w:val="clear" w:color="auto" w:fill="auto"/>
            <w:vAlign w:val="bottom"/>
          </w:tcPr>
          <w:p w14:paraId="23B60695" w14:textId="77777777" w:rsidR="00713EDC" w:rsidRDefault="00713EDC" w:rsidP="008865CA">
            <w:pPr>
              <w:spacing w:line="0" w:lineRule="atLeast"/>
              <w:rPr>
                <w:sz w:val="7"/>
              </w:rPr>
            </w:pPr>
          </w:p>
        </w:tc>
        <w:tc>
          <w:tcPr>
            <w:tcW w:w="87" w:type="dxa"/>
            <w:shd w:val="clear" w:color="auto" w:fill="auto"/>
            <w:vAlign w:val="bottom"/>
          </w:tcPr>
          <w:p w14:paraId="192750BB" w14:textId="77777777" w:rsidR="00713EDC" w:rsidRDefault="00713EDC" w:rsidP="008865CA">
            <w:pPr>
              <w:spacing w:line="0" w:lineRule="atLeast"/>
              <w:rPr>
                <w:sz w:val="7"/>
              </w:rPr>
            </w:pPr>
          </w:p>
        </w:tc>
        <w:tc>
          <w:tcPr>
            <w:tcW w:w="115" w:type="dxa"/>
            <w:tcBorders>
              <w:bottom w:val="single" w:sz="8" w:space="0" w:color="auto"/>
            </w:tcBorders>
            <w:shd w:val="clear" w:color="auto" w:fill="auto"/>
            <w:vAlign w:val="bottom"/>
          </w:tcPr>
          <w:p w14:paraId="1450DE2B" w14:textId="77777777" w:rsidR="00713EDC" w:rsidRDefault="00713EDC" w:rsidP="008865CA">
            <w:pPr>
              <w:spacing w:line="0" w:lineRule="atLeast"/>
              <w:rPr>
                <w:sz w:val="7"/>
              </w:rPr>
            </w:pPr>
          </w:p>
        </w:tc>
        <w:tc>
          <w:tcPr>
            <w:tcW w:w="58" w:type="dxa"/>
            <w:tcBorders>
              <w:bottom w:val="single" w:sz="8" w:space="0" w:color="auto"/>
            </w:tcBorders>
            <w:shd w:val="clear" w:color="auto" w:fill="auto"/>
            <w:vAlign w:val="bottom"/>
          </w:tcPr>
          <w:p w14:paraId="7D67CEFD" w14:textId="77777777" w:rsidR="00713EDC" w:rsidRDefault="00713EDC" w:rsidP="008865CA">
            <w:pPr>
              <w:spacing w:line="0" w:lineRule="atLeast"/>
              <w:rPr>
                <w:sz w:val="7"/>
              </w:rPr>
            </w:pPr>
          </w:p>
        </w:tc>
        <w:tc>
          <w:tcPr>
            <w:tcW w:w="58" w:type="dxa"/>
            <w:shd w:val="clear" w:color="auto" w:fill="auto"/>
            <w:vAlign w:val="bottom"/>
          </w:tcPr>
          <w:p w14:paraId="127CC908" w14:textId="77777777" w:rsidR="00713EDC" w:rsidRDefault="00713EDC" w:rsidP="008865CA">
            <w:pPr>
              <w:spacing w:line="0" w:lineRule="atLeast"/>
              <w:rPr>
                <w:sz w:val="7"/>
              </w:rPr>
            </w:pPr>
          </w:p>
        </w:tc>
        <w:tc>
          <w:tcPr>
            <w:tcW w:w="29" w:type="dxa"/>
            <w:vMerge/>
            <w:shd w:val="clear" w:color="auto" w:fill="auto"/>
            <w:vAlign w:val="bottom"/>
          </w:tcPr>
          <w:p w14:paraId="5838FAF7" w14:textId="77777777" w:rsidR="00713EDC" w:rsidRDefault="00713EDC" w:rsidP="008865CA">
            <w:pPr>
              <w:spacing w:line="0" w:lineRule="atLeast"/>
              <w:rPr>
                <w:sz w:val="7"/>
              </w:rPr>
            </w:pPr>
          </w:p>
        </w:tc>
        <w:tc>
          <w:tcPr>
            <w:tcW w:w="345" w:type="dxa"/>
            <w:vMerge/>
            <w:shd w:val="clear" w:color="auto" w:fill="auto"/>
            <w:vAlign w:val="bottom"/>
          </w:tcPr>
          <w:p w14:paraId="1D00C560" w14:textId="77777777" w:rsidR="00713EDC" w:rsidRDefault="00713EDC" w:rsidP="008865CA">
            <w:pPr>
              <w:spacing w:line="0" w:lineRule="atLeast"/>
              <w:rPr>
                <w:sz w:val="7"/>
              </w:rPr>
            </w:pPr>
          </w:p>
        </w:tc>
        <w:tc>
          <w:tcPr>
            <w:tcW w:w="980" w:type="dxa"/>
            <w:vMerge/>
            <w:shd w:val="clear" w:color="auto" w:fill="auto"/>
            <w:vAlign w:val="bottom"/>
          </w:tcPr>
          <w:p w14:paraId="41A0C014" w14:textId="77777777" w:rsidR="00713EDC" w:rsidRDefault="00713EDC" w:rsidP="008865CA">
            <w:pPr>
              <w:spacing w:line="0" w:lineRule="atLeast"/>
              <w:rPr>
                <w:sz w:val="7"/>
              </w:rPr>
            </w:pPr>
          </w:p>
        </w:tc>
        <w:tc>
          <w:tcPr>
            <w:tcW w:w="864" w:type="dxa"/>
            <w:vMerge/>
            <w:shd w:val="clear" w:color="auto" w:fill="auto"/>
            <w:vAlign w:val="bottom"/>
          </w:tcPr>
          <w:p w14:paraId="4EF58EB0" w14:textId="77777777" w:rsidR="00713EDC" w:rsidRDefault="00713EDC" w:rsidP="008865CA">
            <w:pPr>
              <w:spacing w:line="0" w:lineRule="atLeast"/>
              <w:rPr>
                <w:sz w:val="7"/>
              </w:rPr>
            </w:pPr>
          </w:p>
        </w:tc>
      </w:tr>
      <w:tr w:rsidR="00713EDC" w14:paraId="14A6D040" w14:textId="77777777" w:rsidTr="00713EDC">
        <w:trPr>
          <w:trHeight w:val="287"/>
        </w:trPr>
        <w:tc>
          <w:tcPr>
            <w:tcW w:w="5037" w:type="dxa"/>
            <w:shd w:val="clear" w:color="auto" w:fill="auto"/>
            <w:vAlign w:val="bottom"/>
          </w:tcPr>
          <w:p w14:paraId="089C3346" w14:textId="77777777" w:rsidR="00713EDC" w:rsidRDefault="00713EDC" w:rsidP="008865CA">
            <w:pPr>
              <w:spacing w:line="0" w:lineRule="atLeast"/>
              <w:rPr>
                <w:sz w:val="15"/>
              </w:rPr>
            </w:pPr>
          </w:p>
        </w:tc>
        <w:tc>
          <w:tcPr>
            <w:tcW w:w="1180" w:type="dxa"/>
            <w:gridSpan w:val="6"/>
            <w:shd w:val="clear" w:color="auto" w:fill="auto"/>
            <w:vAlign w:val="bottom"/>
          </w:tcPr>
          <w:p w14:paraId="6B67C4F1" w14:textId="77777777" w:rsidR="00713EDC" w:rsidRDefault="00713EDC" w:rsidP="008865CA">
            <w:pPr>
              <w:spacing w:line="180" w:lineRule="exact"/>
              <w:ind w:left="200"/>
              <w:rPr>
                <w:sz w:val="11"/>
              </w:rPr>
            </w:pPr>
            <w:r>
              <w:rPr>
                <w:i/>
              </w:rPr>
              <w:t xml:space="preserve">N </w:t>
            </w:r>
            <w:r>
              <w:rPr>
                <w:i/>
                <w:sz w:val="11"/>
              </w:rPr>
              <w:t>i</w:t>
            </w:r>
            <w:r>
              <w:rPr>
                <w:rFonts w:ascii="Arial" w:eastAsia="Arial" w:hAnsi="Arial"/>
                <w:sz w:val="11"/>
              </w:rPr>
              <w:t>=</w:t>
            </w:r>
            <w:r>
              <w:rPr>
                <w:sz w:val="11"/>
              </w:rPr>
              <w:t>1</w:t>
            </w:r>
          </w:p>
        </w:tc>
        <w:tc>
          <w:tcPr>
            <w:tcW w:w="548" w:type="dxa"/>
            <w:gridSpan w:val="6"/>
            <w:shd w:val="clear" w:color="auto" w:fill="auto"/>
            <w:vAlign w:val="bottom"/>
          </w:tcPr>
          <w:p w14:paraId="06FB3A74" w14:textId="77777777" w:rsidR="00713EDC" w:rsidRDefault="00713EDC" w:rsidP="008865CA">
            <w:pPr>
              <w:spacing w:line="180" w:lineRule="exact"/>
              <w:ind w:right="60"/>
              <w:jc w:val="right"/>
              <w:rPr>
                <w:i/>
                <w:strike/>
                <w:vertAlign w:val="superscript"/>
              </w:rPr>
            </w:pPr>
            <w:r>
              <w:rPr>
                <w:i/>
                <w:strike/>
                <w:vertAlign w:val="superscript"/>
              </w:rPr>
              <w:t>y</w:t>
            </w:r>
          </w:p>
        </w:tc>
        <w:tc>
          <w:tcPr>
            <w:tcW w:w="345" w:type="dxa"/>
            <w:shd w:val="clear" w:color="auto" w:fill="auto"/>
            <w:vAlign w:val="bottom"/>
          </w:tcPr>
          <w:p w14:paraId="6EFE3301" w14:textId="77777777" w:rsidR="00713EDC" w:rsidRDefault="00713EDC" w:rsidP="008865CA">
            <w:pPr>
              <w:spacing w:line="0" w:lineRule="atLeast"/>
              <w:rPr>
                <w:sz w:val="15"/>
              </w:rPr>
            </w:pPr>
          </w:p>
        </w:tc>
        <w:tc>
          <w:tcPr>
            <w:tcW w:w="980" w:type="dxa"/>
            <w:shd w:val="clear" w:color="auto" w:fill="auto"/>
            <w:vAlign w:val="bottom"/>
          </w:tcPr>
          <w:p w14:paraId="28F7966A" w14:textId="77777777" w:rsidR="00713EDC" w:rsidRDefault="00713EDC" w:rsidP="008865CA">
            <w:pPr>
              <w:spacing w:line="0" w:lineRule="atLeast"/>
              <w:rPr>
                <w:sz w:val="15"/>
              </w:rPr>
            </w:pPr>
          </w:p>
        </w:tc>
        <w:tc>
          <w:tcPr>
            <w:tcW w:w="864" w:type="dxa"/>
            <w:shd w:val="clear" w:color="auto" w:fill="auto"/>
            <w:vAlign w:val="bottom"/>
          </w:tcPr>
          <w:p w14:paraId="3D522D76" w14:textId="77777777" w:rsidR="00713EDC" w:rsidRDefault="00713EDC" w:rsidP="008865CA">
            <w:pPr>
              <w:spacing w:line="0" w:lineRule="atLeast"/>
              <w:rPr>
                <w:sz w:val="15"/>
              </w:rPr>
            </w:pPr>
          </w:p>
        </w:tc>
      </w:tr>
      <w:tr w:rsidR="00713EDC" w14:paraId="02E420EA" w14:textId="77777777" w:rsidTr="00713EDC">
        <w:trPr>
          <w:trHeight w:val="269"/>
        </w:trPr>
        <w:tc>
          <w:tcPr>
            <w:tcW w:w="5037" w:type="dxa"/>
            <w:vMerge w:val="restart"/>
            <w:shd w:val="clear" w:color="auto" w:fill="auto"/>
            <w:vAlign w:val="bottom"/>
          </w:tcPr>
          <w:p w14:paraId="5E8FEC8F" w14:textId="77777777" w:rsidR="00713EDC" w:rsidRDefault="00713EDC" w:rsidP="008865CA">
            <w:pPr>
              <w:spacing w:line="0" w:lineRule="atLeast"/>
              <w:ind w:right="2920"/>
              <w:jc w:val="right"/>
              <w:rPr>
                <w:b/>
                <w:w w:val="95"/>
              </w:rPr>
            </w:pPr>
            <w:r>
              <w:rPr>
                <w:b/>
                <w:w w:val="95"/>
              </w:rPr>
              <w:t>(1.6)</w:t>
            </w:r>
          </w:p>
        </w:tc>
        <w:tc>
          <w:tcPr>
            <w:tcW w:w="748" w:type="dxa"/>
            <w:gridSpan w:val="3"/>
            <w:shd w:val="clear" w:color="auto" w:fill="auto"/>
            <w:vAlign w:val="bottom"/>
          </w:tcPr>
          <w:p w14:paraId="52730476" w14:textId="77777777" w:rsidR="00713EDC" w:rsidRDefault="00713EDC" w:rsidP="008865CA">
            <w:pPr>
              <w:spacing w:line="0" w:lineRule="atLeast"/>
              <w:rPr>
                <w:sz w:val="14"/>
              </w:rPr>
            </w:pPr>
          </w:p>
        </w:tc>
        <w:tc>
          <w:tcPr>
            <w:tcW w:w="115" w:type="dxa"/>
            <w:shd w:val="clear" w:color="auto" w:fill="auto"/>
            <w:vAlign w:val="bottom"/>
          </w:tcPr>
          <w:p w14:paraId="217F0CE5" w14:textId="77777777" w:rsidR="00713EDC" w:rsidRDefault="00713EDC" w:rsidP="008865CA">
            <w:pPr>
              <w:spacing w:line="0" w:lineRule="atLeast"/>
              <w:rPr>
                <w:sz w:val="14"/>
              </w:rPr>
            </w:pPr>
          </w:p>
        </w:tc>
        <w:tc>
          <w:tcPr>
            <w:tcW w:w="173" w:type="dxa"/>
            <w:shd w:val="clear" w:color="auto" w:fill="auto"/>
            <w:vAlign w:val="bottom"/>
          </w:tcPr>
          <w:p w14:paraId="221E617E" w14:textId="77777777" w:rsidR="00713EDC" w:rsidRDefault="00713EDC" w:rsidP="008865CA">
            <w:pPr>
              <w:spacing w:line="0" w:lineRule="atLeast"/>
              <w:rPr>
                <w:sz w:val="14"/>
              </w:rPr>
            </w:pPr>
          </w:p>
        </w:tc>
        <w:tc>
          <w:tcPr>
            <w:tcW w:w="144" w:type="dxa"/>
            <w:shd w:val="clear" w:color="auto" w:fill="auto"/>
            <w:vAlign w:val="bottom"/>
          </w:tcPr>
          <w:p w14:paraId="028EF060" w14:textId="77777777" w:rsidR="00713EDC" w:rsidRDefault="00713EDC" w:rsidP="008865CA">
            <w:pPr>
              <w:spacing w:line="0" w:lineRule="atLeast"/>
              <w:rPr>
                <w:sz w:val="14"/>
              </w:rPr>
            </w:pPr>
          </w:p>
        </w:tc>
        <w:tc>
          <w:tcPr>
            <w:tcW w:w="202" w:type="dxa"/>
            <w:shd w:val="clear" w:color="auto" w:fill="auto"/>
            <w:vAlign w:val="bottom"/>
          </w:tcPr>
          <w:p w14:paraId="40A83EEF" w14:textId="77777777" w:rsidR="00713EDC" w:rsidRDefault="00713EDC" w:rsidP="008865CA">
            <w:pPr>
              <w:spacing w:line="0" w:lineRule="atLeast"/>
              <w:rPr>
                <w:sz w:val="14"/>
              </w:rPr>
            </w:pPr>
          </w:p>
        </w:tc>
        <w:tc>
          <w:tcPr>
            <w:tcW w:w="87" w:type="dxa"/>
            <w:shd w:val="clear" w:color="auto" w:fill="auto"/>
            <w:vAlign w:val="bottom"/>
          </w:tcPr>
          <w:p w14:paraId="1183292D" w14:textId="77777777" w:rsidR="00713EDC" w:rsidRDefault="00713EDC" w:rsidP="008865CA">
            <w:pPr>
              <w:spacing w:line="0" w:lineRule="atLeast"/>
              <w:rPr>
                <w:sz w:val="14"/>
              </w:rPr>
            </w:pPr>
          </w:p>
        </w:tc>
        <w:tc>
          <w:tcPr>
            <w:tcW w:w="115" w:type="dxa"/>
            <w:shd w:val="clear" w:color="auto" w:fill="auto"/>
            <w:vAlign w:val="bottom"/>
          </w:tcPr>
          <w:p w14:paraId="6FCF5F5D" w14:textId="77777777" w:rsidR="00713EDC" w:rsidRDefault="00713EDC" w:rsidP="008865CA">
            <w:pPr>
              <w:spacing w:line="0" w:lineRule="atLeast"/>
              <w:rPr>
                <w:sz w:val="14"/>
              </w:rPr>
            </w:pPr>
          </w:p>
        </w:tc>
        <w:tc>
          <w:tcPr>
            <w:tcW w:w="58" w:type="dxa"/>
            <w:shd w:val="clear" w:color="auto" w:fill="auto"/>
            <w:vAlign w:val="bottom"/>
          </w:tcPr>
          <w:p w14:paraId="018A5F96" w14:textId="77777777" w:rsidR="00713EDC" w:rsidRDefault="00713EDC" w:rsidP="008865CA">
            <w:pPr>
              <w:spacing w:line="0" w:lineRule="atLeast"/>
              <w:rPr>
                <w:sz w:val="14"/>
              </w:rPr>
            </w:pPr>
          </w:p>
        </w:tc>
        <w:tc>
          <w:tcPr>
            <w:tcW w:w="58" w:type="dxa"/>
            <w:shd w:val="clear" w:color="auto" w:fill="auto"/>
            <w:vAlign w:val="bottom"/>
          </w:tcPr>
          <w:p w14:paraId="3481A714" w14:textId="77777777" w:rsidR="00713EDC" w:rsidRDefault="00713EDC" w:rsidP="008865CA">
            <w:pPr>
              <w:spacing w:line="0" w:lineRule="atLeast"/>
              <w:rPr>
                <w:sz w:val="14"/>
              </w:rPr>
            </w:pPr>
          </w:p>
        </w:tc>
        <w:tc>
          <w:tcPr>
            <w:tcW w:w="29" w:type="dxa"/>
            <w:shd w:val="clear" w:color="auto" w:fill="auto"/>
            <w:vAlign w:val="bottom"/>
          </w:tcPr>
          <w:p w14:paraId="6CF37CD6" w14:textId="77777777" w:rsidR="00713EDC" w:rsidRDefault="00713EDC" w:rsidP="008865CA">
            <w:pPr>
              <w:spacing w:line="0" w:lineRule="atLeast"/>
              <w:rPr>
                <w:sz w:val="14"/>
              </w:rPr>
            </w:pPr>
          </w:p>
        </w:tc>
        <w:tc>
          <w:tcPr>
            <w:tcW w:w="345" w:type="dxa"/>
            <w:shd w:val="clear" w:color="auto" w:fill="auto"/>
            <w:vAlign w:val="bottom"/>
          </w:tcPr>
          <w:p w14:paraId="54090987" w14:textId="77777777" w:rsidR="00713EDC" w:rsidRDefault="00713EDC" w:rsidP="008865CA">
            <w:pPr>
              <w:spacing w:line="0" w:lineRule="atLeast"/>
              <w:rPr>
                <w:sz w:val="14"/>
              </w:rPr>
            </w:pPr>
          </w:p>
        </w:tc>
        <w:tc>
          <w:tcPr>
            <w:tcW w:w="980" w:type="dxa"/>
            <w:shd w:val="clear" w:color="auto" w:fill="auto"/>
            <w:vAlign w:val="bottom"/>
          </w:tcPr>
          <w:p w14:paraId="79BF51F0" w14:textId="77777777" w:rsidR="00713EDC" w:rsidRDefault="00713EDC" w:rsidP="008865CA">
            <w:pPr>
              <w:spacing w:line="0" w:lineRule="atLeast"/>
              <w:rPr>
                <w:sz w:val="14"/>
              </w:rPr>
            </w:pPr>
          </w:p>
        </w:tc>
        <w:tc>
          <w:tcPr>
            <w:tcW w:w="864" w:type="dxa"/>
            <w:shd w:val="clear" w:color="auto" w:fill="auto"/>
            <w:vAlign w:val="bottom"/>
          </w:tcPr>
          <w:p w14:paraId="3BB7527C" w14:textId="77777777" w:rsidR="00713EDC" w:rsidRDefault="00713EDC" w:rsidP="008865CA">
            <w:pPr>
              <w:spacing w:line="0" w:lineRule="atLeast"/>
              <w:rPr>
                <w:sz w:val="14"/>
              </w:rPr>
            </w:pPr>
          </w:p>
        </w:tc>
      </w:tr>
      <w:tr w:rsidR="00713EDC" w14:paraId="6926615F" w14:textId="77777777" w:rsidTr="00713EDC">
        <w:trPr>
          <w:trHeight w:val="226"/>
        </w:trPr>
        <w:tc>
          <w:tcPr>
            <w:tcW w:w="5037" w:type="dxa"/>
            <w:vMerge/>
            <w:shd w:val="clear" w:color="auto" w:fill="auto"/>
            <w:vAlign w:val="bottom"/>
          </w:tcPr>
          <w:p w14:paraId="04CF5786" w14:textId="77777777" w:rsidR="00713EDC" w:rsidRDefault="00713EDC" w:rsidP="008865CA">
            <w:pPr>
              <w:spacing w:line="0" w:lineRule="atLeast"/>
              <w:rPr>
                <w:sz w:val="12"/>
              </w:rPr>
            </w:pPr>
          </w:p>
        </w:tc>
        <w:tc>
          <w:tcPr>
            <w:tcW w:w="288" w:type="dxa"/>
            <w:shd w:val="clear" w:color="auto" w:fill="auto"/>
            <w:vAlign w:val="bottom"/>
          </w:tcPr>
          <w:p w14:paraId="215D7119" w14:textId="77777777" w:rsidR="00713EDC" w:rsidRDefault="00713EDC" w:rsidP="008865CA">
            <w:pPr>
              <w:spacing w:line="0" w:lineRule="atLeast"/>
              <w:rPr>
                <w:sz w:val="12"/>
              </w:rPr>
            </w:pPr>
          </w:p>
        </w:tc>
        <w:tc>
          <w:tcPr>
            <w:tcW w:w="460" w:type="dxa"/>
            <w:gridSpan w:val="2"/>
            <w:shd w:val="clear" w:color="auto" w:fill="auto"/>
            <w:vAlign w:val="bottom"/>
          </w:tcPr>
          <w:p w14:paraId="18C88625" w14:textId="77777777" w:rsidR="00713EDC" w:rsidRDefault="00713EDC" w:rsidP="008865CA">
            <w:pPr>
              <w:spacing w:line="142" w:lineRule="exact"/>
              <w:ind w:left="60"/>
              <w:rPr>
                <w:i/>
                <w:sz w:val="14"/>
              </w:rPr>
            </w:pPr>
            <w:r>
              <w:rPr>
                <w:i/>
                <w:sz w:val="14"/>
              </w:rPr>
              <w:t>N</w:t>
            </w:r>
          </w:p>
        </w:tc>
        <w:tc>
          <w:tcPr>
            <w:tcW w:w="115" w:type="dxa"/>
            <w:shd w:val="clear" w:color="auto" w:fill="auto"/>
            <w:vAlign w:val="bottom"/>
          </w:tcPr>
          <w:p w14:paraId="5FCEFB44" w14:textId="77777777" w:rsidR="00713EDC" w:rsidRDefault="00713EDC" w:rsidP="008865CA">
            <w:pPr>
              <w:spacing w:line="0" w:lineRule="atLeast"/>
              <w:rPr>
                <w:sz w:val="12"/>
              </w:rPr>
            </w:pPr>
          </w:p>
        </w:tc>
        <w:tc>
          <w:tcPr>
            <w:tcW w:w="173" w:type="dxa"/>
            <w:shd w:val="clear" w:color="auto" w:fill="auto"/>
            <w:vAlign w:val="bottom"/>
          </w:tcPr>
          <w:p w14:paraId="228A3C47" w14:textId="77777777" w:rsidR="00713EDC" w:rsidRDefault="00713EDC" w:rsidP="008865CA">
            <w:pPr>
              <w:spacing w:line="0" w:lineRule="atLeast"/>
              <w:rPr>
                <w:sz w:val="12"/>
              </w:rPr>
            </w:pPr>
          </w:p>
        </w:tc>
        <w:tc>
          <w:tcPr>
            <w:tcW w:w="144" w:type="dxa"/>
            <w:shd w:val="clear" w:color="auto" w:fill="auto"/>
            <w:vAlign w:val="bottom"/>
          </w:tcPr>
          <w:p w14:paraId="2C374669" w14:textId="77777777" w:rsidR="00713EDC" w:rsidRDefault="00713EDC" w:rsidP="008865CA">
            <w:pPr>
              <w:spacing w:line="0" w:lineRule="atLeast"/>
              <w:rPr>
                <w:sz w:val="12"/>
              </w:rPr>
            </w:pPr>
          </w:p>
        </w:tc>
        <w:tc>
          <w:tcPr>
            <w:tcW w:w="202" w:type="dxa"/>
            <w:shd w:val="clear" w:color="auto" w:fill="auto"/>
            <w:vAlign w:val="bottom"/>
          </w:tcPr>
          <w:p w14:paraId="5F950315" w14:textId="77777777" w:rsidR="00713EDC" w:rsidRDefault="00713EDC" w:rsidP="008865CA">
            <w:pPr>
              <w:spacing w:line="0" w:lineRule="atLeast"/>
              <w:rPr>
                <w:sz w:val="12"/>
              </w:rPr>
            </w:pPr>
          </w:p>
        </w:tc>
        <w:tc>
          <w:tcPr>
            <w:tcW w:w="87" w:type="dxa"/>
            <w:shd w:val="clear" w:color="auto" w:fill="auto"/>
            <w:vAlign w:val="bottom"/>
          </w:tcPr>
          <w:p w14:paraId="72A42DC5" w14:textId="77777777" w:rsidR="00713EDC" w:rsidRDefault="00713EDC" w:rsidP="008865CA">
            <w:pPr>
              <w:spacing w:line="0" w:lineRule="atLeast"/>
              <w:rPr>
                <w:sz w:val="12"/>
              </w:rPr>
            </w:pPr>
          </w:p>
        </w:tc>
        <w:tc>
          <w:tcPr>
            <w:tcW w:w="115" w:type="dxa"/>
            <w:shd w:val="clear" w:color="auto" w:fill="auto"/>
            <w:vAlign w:val="bottom"/>
          </w:tcPr>
          <w:p w14:paraId="1F7CC30C" w14:textId="77777777" w:rsidR="00713EDC" w:rsidRDefault="00713EDC" w:rsidP="008865CA">
            <w:pPr>
              <w:spacing w:line="0" w:lineRule="atLeast"/>
              <w:rPr>
                <w:sz w:val="12"/>
              </w:rPr>
            </w:pPr>
          </w:p>
        </w:tc>
        <w:tc>
          <w:tcPr>
            <w:tcW w:w="58" w:type="dxa"/>
            <w:shd w:val="clear" w:color="auto" w:fill="auto"/>
            <w:vAlign w:val="bottom"/>
          </w:tcPr>
          <w:p w14:paraId="10536D2B" w14:textId="77777777" w:rsidR="00713EDC" w:rsidRDefault="00713EDC" w:rsidP="008865CA">
            <w:pPr>
              <w:spacing w:line="0" w:lineRule="atLeast"/>
              <w:rPr>
                <w:sz w:val="12"/>
              </w:rPr>
            </w:pPr>
          </w:p>
        </w:tc>
        <w:tc>
          <w:tcPr>
            <w:tcW w:w="58" w:type="dxa"/>
            <w:shd w:val="clear" w:color="auto" w:fill="auto"/>
            <w:vAlign w:val="bottom"/>
          </w:tcPr>
          <w:p w14:paraId="6B8FBADF" w14:textId="77777777" w:rsidR="00713EDC" w:rsidRDefault="00713EDC" w:rsidP="008865CA">
            <w:pPr>
              <w:spacing w:line="0" w:lineRule="atLeast"/>
              <w:rPr>
                <w:sz w:val="12"/>
              </w:rPr>
            </w:pPr>
          </w:p>
        </w:tc>
        <w:tc>
          <w:tcPr>
            <w:tcW w:w="29" w:type="dxa"/>
            <w:shd w:val="clear" w:color="auto" w:fill="auto"/>
            <w:vAlign w:val="bottom"/>
          </w:tcPr>
          <w:p w14:paraId="0400FC52" w14:textId="77777777" w:rsidR="00713EDC" w:rsidRDefault="00713EDC" w:rsidP="008865CA">
            <w:pPr>
              <w:spacing w:line="0" w:lineRule="atLeast"/>
              <w:rPr>
                <w:sz w:val="12"/>
              </w:rPr>
            </w:pPr>
          </w:p>
        </w:tc>
        <w:tc>
          <w:tcPr>
            <w:tcW w:w="345" w:type="dxa"/>
            <w:shd w:val="clear" w:color="auto" w:fill="auto"/>
            <w:vAlign w:val="bottom"/>
          </w:tcPr>
          <w:p w14:paraId="34DC7A48" w14:textId="77777777" w:rsidR="00713EDC" w:rsidRDefault="00713EDC" w:rsidP="008865CA">
            <w:pPr>
              <w:spacing w:line="0" w:lineRule="atLeast"/>
              <w:rPr>
                <w:sz w:val="12"/>
              </w:rPr>
            </w:pPr>
          </w:p>
        </w:tc>
        <w:tc>
          <w:tcPr>
            <w:tcW w:w="980" w:type="dxa"/>
            <w:shd w:val="clear" w:color="auto" w:fill="auto"/>
            <w:vAlign w:val="bottom"/>
          </w:tcPr>
          <w:p w14:paraId="094BE13E" w14:textId="77777777" w:rsidR="00713EDC" w:rsidRDefault="00713EDC" w:rsidP="008865CA">
            <w:pPr>
              <w:spacing w:line="0" w:lineRule="atLeast"/>
              <w:rPr>
                <w:sz w:val="12"/>
              </w:rPr>
            </w:pPr>
          </w:p>
        </w:tc>
        <w:tc>
          <w:tcPr>
            <w:tcW w:w="864" w:type="dxa"/>
            <w:shd w:val="clear" w:color="auto" w:fill="auto"/>
            <w:vAlign w:val="bottom"/>
          </w:tcPr>
          <w:p w14:paraId="3F0CCD22" w14:textId="77777777" w:rsidR="00713EDC" w:rsidRDefault="00713EDC" w:rsidP="008865CA">
            <w:pPr>
              <w:spacing w:line="0" w:lineRule="atLeast"/>
              <w:rPr>
                <w:sz w:val="12"/>
              </w:rPr>
            </w:pPr>
          </w:p>
        </w:tc>
      </w:tr>
      <w:tr w:rsidR="00713EDC" w14:paraId="56418985" w14:textId="77777777" w:rsidTr="00713EDC">
        <w:trPr>
          <w:trHeight w:val="247"/>
        </w:trPr>
        <w:tc>
          <w:tcPr>
            <w:tcW w:w="5037" w:type="dxa"/>
            <w:shd w:val="clear" w:color="auto" w:fill="auto"/>
            <w:vAlign w:val="bottom"/>
          </w:tcPr>
          <w:p w14:paraId="0072796B" w14:textId="77777777" w:rsidR="00713EDC" w:rsidRDefault="00713EDC" w:rsidP="008865CA">
            <w:pPr>
              <w:spacing w:line="0" w:lineRule="atLeast"/>
              <w:rPr>
                <w:sz w:val="13"/>
              </w:rPr>
            </w:pPr>
          </w:p>
        </w:tc>
        <w:tc>
          <w:tcPr>
            <w:tcW w:w="288" w:type="dxa"/>
            <w:shd w:val="clear" w:color="auto" w:fill="auto"/>
            <w:vAlign w:val="bottom"/>
          </w:tcPr>
          <w:p w14:paraId="42A8B3AB" w14:textId="77777777" w:rsidR="00713EDC" w:rsidRDefault="00713EDC" w:rsidP="008865CA">
            <w:pPr>
              <w:spacing w:line="0" w:lineRule="atLeast"/>
              <w:rPr>
                <w:sz w:val="13"/>
              </w:rPr>
            </w:pPr>
          </w:p>
        </w:tc>
        <w:tc>
          <w:tcPr>
            <w:tcW w:w="1440" w:type="dxa"/>
            <w:gridSpan w:val="11"/>
            <w:shd w:val="clear" w:color="auto" w:fill="auto"/>
            <w:vAlign w:val="bottom"/>
          </w:tcPr>
          <w:p w14:paraId="5D0190FF" w14:textId="77777777" w:rsidR="00713EDC" w:rsidRDefault="00713EDC" w:rsidP="008865CA">
            <w:pPr>
              <w:spacing w:line="155" w:lineRule="exact"/>
              <w:ind w:right="80"/>
              <w:jc w:val="center"/>
              <w:rPr>
                <w:sz w:val="17"/>
                <w:vertAlign w:val="subscript"/>
              </w:rPr>
            </w:pPr>
            <w:r>
              <w:rPr>
                <w:rFonts w:ascii="Arial" w:eastAsia="Arial" w:hAnsi="Arial"/>
                <w:sz w:val="17"/>
                <w:vertAlign w:val="subscript"/>
              </w:rPr>
              <w:t>∏</w:t>
            </w:r>
            <w:r>
              <w:rPr>
                <w:sz w:val="17"/>
                <w:vertAlign w:val="subscript"/>
              </w:rPr>
              <w:t>(</w:t>
            </w:r>
            <w:r>
              <w:rPr>
                <w:sz w:val="10"/>
              </w:rPr>
              <w:t xml:space="preserve"> </w:t>
            </w:r>
            <w:r>
              <w:rPr>
                <w:i/>
                <w:sz w:val="17"/>
                <w:vertAlign w:val="subscript"/>
              </w:rPr>
              <w:t>y</w:t>
            </w:r>
            <w:r>
              <w:rPr>
                <w:sz w:val="10"/>
              </w:rPr>
              <w:t xml:space="preserve">(1/ </w:t>
            </w:r>
            <w:r>
              <w:rPr>
                <w:i/>
                <w:sz w:val="10"/>
              </w:rPr>
              <w:t>N</w:t>
            </w:r>
            <w:r>
              <w:rPr>
                <w:sz w:val="10"/>
              </w:rPr>
              <w:t xml:space="preserve"> ) </w:t>
            </w:r>
            <w:r>
              <w:rPr>
                <w:sz w:val="17"/>
                <w:vertAlign w:val="subscript"/>
              </w:rPr>
              <w:t>)</w:t>
            </w:r>
          </w:p>
        </w:tc>
        <w:tc>
          <w:tcPr>
            <w:tcW w:w="345" w:type="dxa"/>
            <w:shd w:val="clear" w:color="auto" w:fill="auto"/>
            <w:vAlign w:val="bottom"/>
          </w:tcPr>
          <w:p w14:paraId="20245ED4" w14:textId="77777777" w:rsidR="00713EDC" w:rsidRDefault="00713EDC" w:rsidP="008865CA">
            <w:pPr>
              <w:spacing w:line="0" w:lineRule="atLeast"/>
              <w:rPr>
                <w:sz w:val="13"/>
              </w:rPr>
            </w:pPr>
          </w:p>
        </w:tc>
        <w:tc>
          <w:tcPr>
            <w:tcW w:w="980" w:type="dxa"/>
            <w:shd w:val="clear" w:color="auto" w:fill="auto"/>
            <w:vAlign w:val="bottom"/>
          </w:tcPr>
          <w:p w14:paraId="2E56BCD7" w14:textId="77777777" w:rsidR="00713EDC" w:rsidRDefault="00713EDC" w:rsidP="008865CA">
            <w:pPr>
              <w:spacing w:line="0" w:lineRule="atLeast"/>
              <w:rPr>
                <w:sz w:val="13"/>
              </w:rPr>
            </w:pPr>
          </w:p>
        </w:tc>
        <w:tc>
          <w:tcPr>
            <w:tcW w:w="864" w:type="dxa"/>
            <w:shd w:val="clear" w:color="auto" w:fill="auto"/>
            <w:vAlign w:val="bottom"/>
          </w:tcPr>
          <w:p w14:paraId="50974511" w14:textId="77777777" w:rsidR="00713EDC" w:rsidRDefault="00713EDC" w:rsidP="008865CA">
            <w:pPr>
              <w:spacing w:line="0" w:lineRule="atLeast"/>
              <w:rPr>
                <w:sz w:val="13"/>
              </w:rPr>
            </w:pPr>
          </w:p>
        </w:tc>
      </w:tr>
      <w:tr w:rsidR="00713EDC" w14:paraId="50134A19" w14:textId="77777777" w:rsidTr="00713EDC">
        <w:trPr>
          <w:trHeight w:val="293"/>
        </w:trPr>
        <w:tc>
          <w:tcPr>
            <w:tcW w:w="5326" w:type="dxa"/>
            <w:gridSpan w:val="2"/>
            <w:vMerge w:val="restart"/>
            <w:shd w:val="clear" w:color="auto" w:fill="auto"/>
            <w:vAlign w:val="bottom"/>
          </w:tcPr>
          <w:p w14:paraId="2B45A62F" w14:textId="77777777" w:rsidR="00713EDC" w:rsidRDefault="00713EDC" w:rsidP="008865CA">
            <w:pPr>
              <w:spacing w:line="0" w:lineRule="atLeast"/>
              <w:ind w:left="3220"/>
              <w:rPr>
                <w:rFonts w:ascii="Arial" w:eastAsia="Arial" w:hAnsi="Arial"/>
                <w:w w:val="86"/>
              </w:rPr>
            </w:pPr>
            <w:r>
              <w:rPr>
                <w:rFonts w:ascii="Arial" w:eastAsia="Arial" w:hAnsi="Arial"/>
                <w:w w:val="86"/>
              </w:rPr>
              <w:t xml:space="preserve">= </w:t>
            </w:r>
            <w:r>
              <w:rPr>
                <w:w w:val="86"/>
              </w:rPr>
              <w:t>1</w:t>
            </w:r>
            <w:r>
              <w:rPr>
                <w:rFonts w:ascii="Arial" w:eastAsia="Arial" w:hAnsi="Arial"/>
                <w:w w:val="86"/>
              </w:rPr>
              <w:t xml:space="preserve"> −</w:t>
            </w:r>
          </w:p>
        </w:tc>
        <w:tc>
          <w:tcPr>
            <w:tcW w:w="460" w:type="dxa"/>
            <w:gridSpan w:val="2"/>
            <w:vMerge w:val="restart"/>
            <w:shd w:val="clear" w:color="auto" w:fill="auto"/>
            <w:vAlign w:val="bottom"/>
          </w:tcPr>
          <w:p w14:paraId="2A051E03" w14:textId="77777777" w:rsidR="00713EDC" w:rsidRDefault="00713EDC" w:rsidP="008865CA">
            <w:pPr>
              <w:spacing w:line="0" w:lineRule="atLeast"/>
              <w:ind w:left="20"/>
              <w:rPr>
                <w:sz w:val="14"/>
              </w:rPr>
            </w:pPr>
            <w:r>
              <w:rPr>
                <w:i/>
                <w:sz w:val="14"/>
              </w:rPr>
              <w:t xml:space="preserve">i </w:t>
            </w:r>
            <w:r>
              <w:rPr>
                <w:rFonts w:ascii="Arial" w:eastAsia="Arial" w:hAnsi="Arial"/>
                <w:sz w:val="14"/>
              </w:rPr>
              <w:t>=</w:t>
            </w:r>
            <w:r>
              <w:rPr>
                <w:sz w:val="14"/>
              </w:rPr>
              <w:t>1</w:t>
            </w:r>
          </w:p>
        </w:tc>
        <w:tc>
          <w:tcPr>
            <w:tcW w:w="115" w:type="dxa"/>
            <w:shd w:val="clear" w:color="auto" w:fill="auto"/>
            <w:vAlign w:val="bottom"/>
          </w:tcPr>
          <w:p w14:paraId="215D10C4" w14:textId="77777777" w:rsidR="00713EDC" w:rsidRDefault="00713EDC" w:rsidP="008865CA">
            <w:pPr>
              <w:spacing w:line="0" w:lineRule="atLeast"/>
              <w:rPr>
                <w:sz w:val="15"/>
              </w:rPr>
            </w:pPr>
          </w:p>
        </w:tc>
        <w:tc>
          <w:tcPr>
            <w:tcW w:w="317" w:type="dxa"/>
            <w:gridSpan w:val="2"/>
            <w:shd w:val="clear" w:color="auto" w:fill="auto"/>
            <w:vAlign w:val="bottom"/>
          </w:tcPr>
          <w:p w14:paraId="0A58E11C" w14:textId="77777777" w:rsidR="00713EDC" w:rsidRDefault="00713EDC" w:rsidP="008865CA">
            <w:pPr>
              <w:spacing w:line="0" w:lineRule="atLeast"/>
              <w:ind w:right="140"/>
              <w:jc w:val="center"/>
              <w:rPr>
                <w:i/>
                <w:sz w:val="14"/>
              </w:rPr>
            </w:pPr>
            <w:r>
              <w:rPr>
                <w:i/>
                <w:sz w:val="14"/>
              </w:rPr>
              <w:t>i</w:t>
            </w:r>
          </w:p>
        </w:tc>
        <w:tc>
          <w:tcPr>
            <w:tcW w:w="202" w:type="dxa"/>
            <w:shd w:val="clear" w:color="auto" w:fill="auto"/>
            <w:vAlign w:val="bottom"/>
          </w:tcPr>
          <w:p w14:paraId="0EC0A19A" w14:textId="77777777" w:rsidR="00713EDC" w:rsidRDefault="00713EDC" w:rsidP="008865CA">
            <w:pPr>
              <w:spacing w:line="0" w:lineRule="atLeast"/>
              <w:rPr>
                <w:sz w:val="15"/>
              </w:rPr>
            </w:pPr>
          </w:p>
        </w:tc>
        <w:tc>
          <w:tcPr>
            <w:tcW w:w="87" w:type="dxa"/>
            <w:shd w:val="clear" w:color="auto" w:fill="auto"/>
            <w:vAlign w:val="bottom"/>
          </w:tcPr>
          <w:p w14:paraId="0F044DCA" w14:textId="77777777" w:rsidR="00713EDC" w:rsidRDefault="00713EDC" w:rsidP="008865CA">
            <w:pPr>
              <w:spacing w:line="0" w:lineRule="atLeast"/>
              <w:rPr>
                <w:sz w:val="15"/>
              </w:rPr>
            </w:pPr>
          </w:p>
        </w:tc>
        <w:tc>
          <w:tcPr>
            <w:tcW w:w="115" w:type="dxa"/>
            <w:shd w:val="clear" w:color="auto" w:fill="auto"/>
            <w:vAlign w:val="bottom"/>
          </w:tcPr>
          <w:p w14:paraId="332904BE" w14:textId="77777777" w:rsidR="00713EDC" w:rsidRDefault="00713EDC" w:rsidP="008865CA">
            <w:pPr>
              <w:spacing w:line="0" w:lineRule="atLeast"/>
              <w:rPr>
                <w:sz w:val="15"/>
              </w:rPr>
            </w:pPr>
          </w:p>
        </w:tc>
        <w:tc>
          <w:tcPr>
            <w:tcW w:w="145" w:type="dxa"/>
            <w:gridSpan w:val="3"/>
            <w:vMerge w:val="restart"/>
            <w:shd w:val="clear" w:color="auto" w:fill="auto"/>
            <w:vAlign w:val="bottom"/>
          </w:tcPr>
          <w:p w14:paraId="47A7B601" w14:textId="77777777" w:rsidR="00713EDC" w:rsidRDefault="00713EDC" w:rsidP="008865CA">
            <w:pPr>
              <w:spacing w:line="0" w:lineRule="atLeast"/>
              <w:jc w:val="right"/>
            </w:pPr>
            <w:r>
              <w:t>,</w:t>
            </w:r>
          </w:p>
        </w:tc>
        <w:tc>
          <w:tcPr>
            <w:tcW w:w="345" w:type="dxa"/>
            <w:shd w:val="clear" w:color="auto" w:fill="auto"/>
            <w:vAlign w:val="bottom"/>
          </w:tcPr>
          <w:p w14:paraId="07FE1B0F" w14:textId="77777777" w:rsidR="00713EDC" w:rsidRDefault="00713EDC" w:rsidP="008865CA">
            <w:pPr>
              <w:spacing w:line="0" w:lineRule="atLeast"/>
              <w:rPr>
                <w:sz w:val="15"/>
              </w:rPr>
            </w:pPr>
          </w:p>
        </w:tc>
        <w:tc>
          <w:tcPr>
            <w:tcW w:w="980" w:type="dxa"/>
            <w:shd w:val="clear" w:color="auto" w:fill="auto"/>
            <w:vAlign w:val="bottom"/>
          </w:tcPr>
          <w:p w14:paraId="3A60C7FF" w14:textId="77777777" w:rsidR="00713EDC" w:rsidRDefault="00713EDC" w:rsidP="008865CA">
            <w:pPr>
              <w:spacing w:line="0" w:lineRule="atLeast"/>
              <w:rPr>
                <w:sz w:val="15"/>
              </w:rPr>
            </w:pPr>
          </w:p>
        </w:tc>
        <w:tc>
          <w:tcPr>
            <w:tcW w:w="864" w:type="dxa"/>
            <w:vMerge w:val="restart"/>
            <w:shd w:val="clear" w:color="auto" w:fill="auto"/>
            <w:vAlign w:val="bottom"/>
          </w:tcPr>
          <w:p w14:paraId="2DE5484C" w14:textId="77777777" w:rsidR="00713EDC" w:rsidRDefault="00713EDC" w:rsidP="008865CA">
            <w:pPr>
              <w:spacing w:line="0" w:lineRule="atLeast"/>
              <w:jc w:val="right"/>
            </w:pPr>
            <w:r>
              <w:rPr>
                <w:rFonts w:ascii="Arial" w:eastAsia="Arial" w:hAnsi="Arial"/>
                <w:i/>
              </w:rPr>
              <w:t xml:space="preserve">ε </w:t>
            </w:r>
            <w:r>
              <w:rPr>
                <w:rFonts w:ascii="Arial" w:eastAsia="Arial" w:hAnsi="Arial"/>
              </w:rPr>
              <w:t>=</w:t>
            </w:r>
            <w:r>
              <w:rPr>
                <w:rFonts w:ascii="Arial" w:eastAsia="Arial" w:hAnsi="Arial"/>
                <w:i/>
              </w:rPr>
              <w:t xml:space="preserve"> </w:t>
            </w:r>
            <w:r>
              <w:t>1.</w:t>
            </w:r>
          </w:p>
        </w:tc>
      </w:tr>
      <w:tr w:rsidR="00713EDC" w14:paraId="4086A52B" w14:textId="77777777" w:rsidTr="00713EDC">
        <w:trPr>
          <w:trHeight w:val="107"/>
        </w:trPr>
        <w:tc>
          <w:tcPr>
            <w:tcW w:w="5326" w:type="dxa"/>
            <w:gridSpan w:val="2"/>
            <w:vMerge/>
            <w:shd w:val="clear" w:color="auto" w:fill="auto"/>
            <w:vAlign w:val="bottom"/>
          </w:tcPr>
          <w:p w14:paraId="0F0E8DA8" w14:textId="77777777" w:rsidR="00713EDC" w:rsidRDefault="00713EDC" w:rsidP="008865CA">
            <w:pPr>
              <w:spacing w:line="0" w:lineRule="atLeast"/>
              <w:rPr>
                <w:sz w:val="5"/>
              </w:rPr>
            </w:pPr>
          </w:p>
        </w:tc>
        <w:tc>
          <w:tcPr>
            <w:tcW w:w="460" w:type="dxa"/>
            <w:gridSpan w:val="2"/>
            <w:vMerge/>
            <w:tcBorders>
              <w:bottom w:val="single" w:sz="8" w:space="0" w:color="auto"/>
            </w:tcBorders>
            <w:shd w:val="clear" w:color="auto" w:fill="auto"/>
            <w:vAlign w:val="bottom"/>
          </w:tcPr>
          <w:p w14:paraId="3C5D2113" w14:textId="77777777" w:rsidR="00713EDC" w:rsidRDefault="00713EDC" w:rsidP="008865CA">
            <w:pPr>
              <w:spacing w:line="0" w:lineRule="atLeast"/>
              <w:rPr>
                <w:sz w:val="5"/>
              </w:rPr>
            </w:pPr>
          </w:p>
        </w:tc>
        <w:tc>
          <w:tcPr>
            <w:tcW w:w="115" w:type="dxa"/>
            <w:tcBorders>
              <w:bottom w:val="single" w:sz="8" w:space="0" w:color="auto"/>
            </w:tcBorders>
            <w:shd w:val="clear" w:color="auto" w:fill="auto"/>
            <w:vAlign w:val="bottom"/>
          </w:tcPr>
          <w:p w14:paraId="5BCAB4D6" w14:textId="77777777" w:rsidR="00713EDC" w:rsidRDefault="00713EDC" w:rsidP="008865CA">
            <w:pPr>
              <w:spacing w:line="0" w:lineRule="atLeast"/>
              <w:rPr>
                <w:sz w:val="5"/>
              </w:rPr>
            </w:pPr>
          </w:p>
        </w:tc>
        <w:tc>
          <w:tcPr>
            <w:tcW w:w="173" w:type="dxa"/>
            <w:tcBorders>
              <w:bottom w:val="single" w:sz="8" w:space="0" w:color="auto"/>
            </w:tcBorders>
            <w:shd w:val="clear" w:color="auto" w:fill="auto"/>
            <w:vAlign w:val="bottom"/>
          </w:tcPr>
          <w:p w14:paraId="0A8854E8" w14:textId="77777777" w:rsidR="00713EDC" w:rsidRDefault="00713EDC" w:rsidP="008865CA">
            <w:pPr>
              <w:spacing w:line="0" w:lineRule="atLeast"/>
              <w:rPr>
                <w:sz w:val="5"/>
              </w:rPr>
            </w:pPr>
          </w:p>
        </w:tc>
        <w:tc>
          <w:tcPr>
            <w:tcW w:w="144" w:type="dxa"/>
            <w:tcBorders>
              <w:bottom w:val="single" w:sz="8" w:space="0" w:color="auto"/>
            </w:tcBorders>
            <w:shd w:val="clear" w:color="auto" w:fill="auto"/>
            <w:vAlign w:val="bottom"/>
          </w:tcPr>
          <w:p w14:paraId="2B2DEF9F" w14:textId="77777777" w:rsidR="00713EDC" w:rsidRDefault="00713EDC" w:rsidP="008865CA">
            <w:pPr>
              <w:spacing w:line="0" w:lineRule="atLeast"/>
              <w:rPr>
                <w:sz w:val="5"/>
              </w:rPr>
            </w:pPr>
          </w:p>
        </w:tc>
        <w:tc>
          <w:tcPr>
            <w:tcW w:w="403" w:type="dxa"/>
            <w:gridSpan w:val="3"/>
            <w:tcBorders>
              <w:bottom w:val="single" w:sz="8" w:space="0" w:color="auto"/>
            </w:tcBorders>
            <w:shd w:val="clear" w:color="auto" w:fill="auto"/>
            <w:vAlign w:val="bottom"/>
          </w:tcPr>
          <w:p w14:paraId="1C4E681A" w14:textId="77777777" w:rsidR="00713EDC" w:rsidRDefault="00713EDC" w:rsidP="008865CA">
            <w:pPr>
              <w:spacing w:line="0" w:lineRule="atLeast"/>
              <w:rPr>
                <w:sz w:val="5"/>
              </w:rPr>
            </w:pPr>
          </w:p>
        </w:tc>
        <w:tc>
          <w:tcPr>
            <w:tcW w:w="145" w:type="dxa"/>
            <w:gridSpan w:val="3"/>
            <w:vMerge/>
            <w:shd w:val="clear" w:color="auto" w:fill="auto"/>
            <w:vAlign w:val="bottom"/>
          </w:tcPr>
          <w:p w14:paraId="06FC6FE9" w14:textId="77777777" w:rsidR="00713EDC" w:rsidRDefault="00713EDC" w:rsidP="008865CA">
            <w:pPr>
              <w:spacing w:line="0" w:lineRule="atLeast"/>
              <w:rPr>
                <w:sz w:val="5"/>
              </w:rPr>
            </w:pPr>
          </w:p>
        </w:tc>
        <w:tc>
          <w:tcPr>
            <w:tcW w:w="345" w:type="dxa"/>
            <w:shd w:val="clear" w:color="auto" w:fill="auto"/>
            <w:vAlign w:val="bottom"/>
          </w:tcPr>
          <w:p w14:paraId="1D5DF58B" w14:textId="77777777" w:rsidR="00713EDC" w:rsidRDefault="00713EDC" w:rsidP="008865CA">
            <w:pPr>
              <w:spacing w:line="0" w:lineRule="atLeast"/>
              <w:rPr>
                <w:sz w:val="5"/>
              </w:rPr>
            </w:pPr>
          </w:p>
        </w:tc>
        <w:tc>
          <w:tcPr>
            <w:tcW w:w="980" w:type="dxa"/>
            <w:shd w:val="clear" w:color="auto" w:fill="auto"/>
            <w:vAlign w:val="bottom"/>
          </w:tcPr>
          <w:p w14:paraId="38A19C4E" w14:textId="77777777" w:rsidR="00713EDC" w:rsidRDefault="00713EDC" w:rsidP="008865CA">
            <w:pPr>
              <w:spacing w:line="0" w:lineRule="atLeast"/>
              <w:rPr>
                <w:sz w:val="5"/>
              </w:rPr>
            </w:pPr>
          </w:p>
        </w:tc>
        <w:tc>
          <w:tcPr>
            <w:tcW w:w="864" w:type="dxa"/>
            <w:vMerge/>
            <w:shd w:val="clear" w:color="auto" w:fill="auto"/>
            <w:vAlign w:val="bottom"/>
          </w:tcPr>
          <w:p w14:paraId="2AF628C4" w14:textId="77777777" w:rsidR="00713EDC" w:rsidRDefault="00713EDC" w:rsidP="008865CA">
            <w:pPr>
              <w:spacing w:line="0" w:lineRule="atLeast"/>
              <w:rPr>
                <w:sz w:val="5"/>
              </w:rPr>
            </w:pPr>
          </w:p>
        </w:tc>
      </w:tr>
      <w:tr w:rsidR="00713EDC" w14:paraId="7F2D1ACE" w14:textId="77777777" w:rsidTr="00713EDC">
        <w:trPr>
          <w:trHeight w:val="127"/>
        </w:trPr>
        <w:tc>
          <w:tcPr>
            <w:tcW w:w="5326" w:type="dxa"/>
            <w:gridSpan w:val="2"/>
            <w:vMerge/>
            <w:shd w:val="clear" w:color="auto" w:fill="auto"/>
            <w:vAlign w:val="bottom"/>
          </w:tcPr>
          <w:p w14:paraId="087B44C8" w14:textId="77777777" w:rsidR="00713EDC" w:rsidRDefault="00713EDC" w:rsidP="008865CA">
            <w:pPr>
              <w:spacing w:line="0" w:lineRule="atLeast"/>
              <w:rPr>
                <w:sz w:val="6"/>
              </w:rPr>
            </w:pPr>
          </w:p>
        </w:tc>
        <w:tc>
          <w:tcPr>
            <w:tcW w:w="460" w:type="dxa"/>
            <w:gridSpan w:val="2"/>
            <w:shd w:val="clear" w:color="auto" w:fill="auto"/>
            <w:vAlign w:val="bottom"/>
          </w:tcPr>
          <w:p w14:paraId="7C0A5E2E" w14:textId="77777777" w:rsidR="00713EDC" w:rsidRDefault="00713EDC" w:rsidP="008865CA">
            <w:pPr>
              <w:spacing w:line="0" w:lineRule="atLeast"/>
              <w:rPr>
                <w:sz w:val="6"/>
              </w:rPr>
            </w:pPr>
          </w:p>
        </w:tc>
        <w:tc>
          <w:tcPr>
            <w:tcW w:w="115" w:type="dxa"/>
            <w:shd w:val="clear" w:color="auto" w:fill="auto"/>
            <w:vAlign w:val="bottom"/>
          </w:tcPr>
          <w:p w14:paraId="34CC0D63" w14:textId="77777777" w:rsidR="00713EDC" w:rsidRDefault="00713EDC" w:rsidP="008865CA">
            <w:pPr>
              <w:spacing w:line="0" w:lineRule="atLeast"/>
              <w:rPr>
                <w:sz w:val="6"/>
              </w:rPr>
            </w:pPr>
          </w:p>
        </w:tc>
        <w:tc>
          <w:tcPr>
            <w:tcW w:w="173" w:type="dxa"/>
            <w:vMerge w:val="restart"/>
            <w:shd w:val="clear" w:color="auto" w:fill="auto"/>
            <w:vAlign w:val="bottom"/>
          </w:tcPr>
          <w:p w14:paraId="132A606A" w14:textId="77777777" w:rsidR="00713EDC" w:rsidRDefault="00713EDC" w:rsidP="008865CA">
            <w:pPr>
              <w:spacing w:line="0" w:lineRule="atLeast"/>
              <w:jc w:val="center"/>
              <w:rPr>
                <w:i/>
                <w:strike/>
              </w:rPr>
            </w:pPr>
            <w:r>
              <w:rPr>
                <w:i/>
                <w:strike/>
              </w:rPr>
              <w:t>y</w:t>
            </w:r>
          </w:p>
        </w:tc>
        <w:tc>
          <w:tcPr>
            <w:tcW w:w="144" w:type="dxa"/>
            <w:shd w:val="clear" w:color="auto" w:fill="auto"/>
            <w:vAlign w:val="bottom"/>
          </w:tcPr>
          <w:p w14:paraId="5BC186FE" w14:textId="77777777" w:rsidR="00713EDC" w:rsidRDefault="00713EDC" w:rsidP="008865CA">
            <w:pPr>
              <w:spacing w:line="0" w:lineRule="atLeast"/>
              <w:rPr>
                <w:sz w:val="6"/>
              </w:rPr>
            </w:pPr>
          </w:p>
        </w:tc>
        <w:tc>
          <w:tcPr>
            <w:tcW w:w="403" w:type="dxa"/>
            <w:gridSpan w:val="3"/>
            <w:shd w:val="clear" w:color="auto" w:fill="auto"/>
            <w:vAlign w:val="bottom"/>
          </w:tcPr>
          <w:p w14:paraId="2A6498DD" w14:textId="77777777" w:rsidR="00713EDC" w:rsidRDefault="00713EDC" w:rsidP="008865CA">
            <w:pPr>
              <w:spacing w:line="0" w:lineRule="atLeast"/>
              <w:rPr>
                <w:sz w:val="6"/>
              </w:rPr>
            </w:pPr>
          </w:p>
        </w:tc>
        <w:tc>
          <w:tcPr>
            <w:tcW w:w="145" w:type="dxa"/>
            <w:gridSpan w:val="3"/>
            <w:vMerge/>
            <w:shd w:val="clear" w:color="auto" w:fill="auto"/>
            <w:vAlign w:val="bottom"/>
          </w:tcPr>
          <w:p w14:paraId="704920E9" w14:textId="77777777" w:rsidR="00713EDC" w:rsidRDefault="00713EDC" w:rsidP="008865CA">
            <w:pPr>
              <w:spacing w:line="0" w:lineRule="atLeast"/>
              <w:rPr>
                <w:sz w:val="6"/>
              </w:rPr>
            </w:pPr>
          </w:p>
        </w:tc>
        <w:tc>
          <w:tcPr>
            <w:tcW w:w="345" w:type="dxa"/>
            <w:shd w:val="clear" w:color="auto" w:fill="auto"/>
            <w:vAlign w:val="bottom"/>
          </w:tcPr>
          <w:p w14:paraId="4080878D" w14:textId="77777777" w:rsidR="00713EDC" w:rsidRDefault="00713EDC" w:rsidP="008865CA">
            <w:pPr>
              <w:spacing w:line="0" w:lineRule="atLeast"/>
              <w:rPr>
                <w:sz w:val="6"/>
              </w:rPr>
            </w:pPr>
          </w:p>
        </w:tc>
        <w:tc>
          <w:tcPr>
            <w:tcW w:w="980" w:type="dxa"/>
            <w:shd w:val="clear" w:color="auto" w:fill="auto"/>
            <w:vAlign w:val="bottom"/>
          </w:tcPr>
          <w:p w14:paraId="1DDCFE46" w14:textId="77777777" w:rsidR="00713EDC" w:rsidRDefault="00713EDC" w:rsidP="008865CA">
            <w:pPr>
              <w:spacing w:line="0" w:lineRule="atLeast"/>
              <w:rPr>
                <w:sz w:val="6"/>
              </w:rPr>
            </w:pPr>
          </w:p>
        </w:tc>
        <w:tc>
          <w:tcPr>
            <w:tcW w:w="864" w:type="dxa"/>
            <w:vMerge/>
            <w:shd w:val="clear" w:color="auto" w:fill="auto"/>
            <w:vAlign w:val="bottom"/>
          </w:tcPr>
          <w:p w14:paraId="421372EF" w14:textId="77777777" w:rsidR="00713EDC" w:rsidRDefault="00713EDC" w:rsidP="008865CA">
            <w:pPr>
              <w:spacing w:line="0" w:lineRule="atLeast"/>
              <w:rPr>
                <w:sz w:val="6"/>
              </w:rPr>
            </w:pPr>
          </w:p>
        </w:tc>
      </w:tr>
      <w:tr w:rsidR="00713EDC" w14:paraId="2BBC85C4" w14:textId="77777777" w:rsidTr="00713EDC">
        <w:trPr>
          <w:trHeight w:val="363"/>
        </w:trPr>
        <w:tc>
          <w:tcPr>
            <w:tcW w:w="5037" w:type="dxa"/>
            <w:shd w:val="clear" w:color="auto" w:fill="auto"/>
            <w:vAlign w:val="bottom"/>
          </w:tcPr>
          <w:p w14:paraId="006A44D4" w14:textId="77777777" w:rsidR="00713EDC" w:rsidRDefault="00713EDC" w:rsidP="008865CA">
            <w:pPr>
              <w:spacing w:line="0" w:lineRule="atLeast"/>
              <w:rPr>
                <w:sz w:val="19"/>
              </w:rPr>
            </w:pPr>
          </w:p>
        </w:tc>
        <w:tc>
          <w:tcPr>
            <w:tcW w:w="288" w:type="dxa"/>
            <w:shd w:val="clear" w:color="auto" w:fill="auto"/>
            <w:vAlign w:val="bottom"/>
          </w:tcPr>
          <w:p w14:paraId="07DF3363" w14:textId="77777777" w:rsidR="00713EDC" w:rsidRDefault="00713EDC" w:rsidP="008865CA">
            <w:pPr>
              <w:spacing w:line="0" w:lineRule="atLeast"/>
              <w:rPr>
                <w:sz w:val="19"/>
              </w:rPr>
            </w:pPr>
          </w:p>
        </w:tc>
        <w:tc>
          <w:tcPr>
            <w:tcW w:w="144" w:type="dxa"/>
            <w:shd w:val="clear" w:color="auto" w:fill="auto"/>
            <w:vAlign w:val="bottom"/>
          </w:tcPr>
          <w:p w14:paraId="18C3238D" w14:textId="77777777" w:rsidR="00713EDC" w:rsidRDefault="00713EDC" w:rsidP="008865CA">
            <w:pPr>
              <w:spacing w:line="0" w:lineRule="atLeast"/>
              <w:rPr>
                <w:sz w:val="19"/>
              </w:rPr>
            </w:pPr>
          </w:p>
        </w:tc>
        <w:tc>
          <w:tcPr>
            <w:tcW w:w="317" w:type="dxa"/>
            <w:shd w:val="clear" w:color="auto" w:fill="auto"/>
            <w:vAlign w:val="bottom"/>
          </w:tcPr>
          <w:p w14:paraId="11379B40" w14:textId="77777777" w:rsidR="00713EDC" w:rsidRDefault="00713EDC" w:rsidP="008865CA">
            <w:pPr>
              <w:spacing w:line="0" w:lineRule="atLeast"/>
              <w:rPr>
                <w:sz w:val="19"/>
              </w:rPr>
            </w:pPr>
          </w:p>
        </w:tc>
        <w:tc>
          <w:tcPr>
            <w:tcW w:w="115" w:type="dxa"/>
            <w:shd w:val="clear" w:color="auto" w:fill="auto"/>
            <w:vAlign w:val="bottom"/>
          </w:tcPr>
          <w:p w14:paraId="1D4B98DE" w14:textId="77777777" w:rsidR="00713EDC" w:rsidRDefault="00713EDC" w:rsidP="008865CA">
            <w:pPr>
              <w:spacing w:line="0" w:lineRule="atLeast"/>
              <w:rPr>
                <w:sz w:val="19"/>
              </w:rPr>
            </w:pPr>
          </w:p>
        </w:tc>
        <w:tc>
          <w:tcPr>
            <w:tcW w:w="173" w:type="dxa"/>
            <w:vMerge/>
            <w:shd w:val="clear" w:color="auto" w:fill="auto"/>
            <w:vAlign w:val="bottom"/>
          </w:tcPr>
          <w:p w14:paraId="783437BA" w14:textId="77777777" w:rsidR="00713EDC" w:rsidRDefault="00713EDC" w:rsidP="008865CA">
            <w:pPr>
              <w:spacing w:line="0" w:lineRule="atLeast"/>
              <w:rPr>
                <w:sz w:val="19"/>
              </w:rPr>
            </w:pPr>
          </w:p>
        </w:tc>
        <w:tc>
          <w:tcPr>
            <w:tcW w:w="144" w:type="dxa"/>
            <w:shd w:val="clear" w:color="auto" w:fill="auto"/>
            <w:vAlign w:val="bottom"/>
          </w:tcPr>
          <w:p w14:paraId="064AD02D" w14:textId="77777777" w:rsidR="00713EDC" w:rsidRDefault="00713EDC" w:rsidP="008865CA">
            <w:pPr>
              <w:spacing w:line="0" w:lineRule="atLeast"/>
              <w:rPr>
                <w:sz w:val="19"/>
              </w:rPr>
            </w:pPr>
          </w:p>
        </w:tc>
        <w:tc>
          <w:tcPr>
            <w:tcW w:w="202" w:type="dxa"/>
            <w:shd w:val="clear" w:color="auto" w:fill="auto"/>
            <w:vAlign w:val="bottom"/>
          </w:tcPr>
          <w:p w14:paraId="7F20F1EF" w14:textId="77777777" w:rsidR="00713EDC" w:rsidRDefault="00713EDC" w:rsidP="008865CA">
            <w:pPr>
              <w:spacing w:line="0" w:lineRule="atLeast"/>
              <w:rPr>
                <w:sz w:val="19"/>
              </w:rPr>
            </w:pPr>
          </w:p>
        </w:tc>
        <w:tc>
          <w:tcPr>
            <w:tcW w:w="87" w:type="dxa"/>
            <w:shd w:val="clear" w:color="auto" w:fill="auto"/>
            <w:vAlign w:val="bottom"/>
          </w:tcPr>
          <w:p w14:paraId="2DEE68BE" w14:textId="77777777" w:rsidR="00713EDC" w:rsidRDefault="00713EDC" w:rsidP="008865CA">
            <w:pPr>
              <w:spacing w:line="0" w:lineRule="atLeast"/>
              <w:rPr>
                <w:sz w:val="19"/>
              </w:rPr>
            </w:pPr>
          </w:p>
        </w:tc>
        <w:tc>
          <w:tcPr>
            <w:tcW w:w="115" w:type="dxa"/>
            <w:shd w:val="clear" w:color="auto" w:fill="auto"/>
            <w:vAlign w:val="bottom"/>
          </w:tcPr>
          <w:p w14:paraId="2E3511DF" w14:textId="77777777" w:rsidR="00713EDC" w:rsidRDefault="00713EDC" w:rsidP="008865CA">
            <w:pPr>
              <w:spacing w:line="0" w:lineRule="atLeast"/>
              <w:rPr>
                <w:sz w:val="19"/>
              </w:rPr>
            </w:pPr>
          </w:p>
        </w:tc>
        <w:tc>
          <w:tcPr>
            <w:tcW w:w="58" w:type="dxa"/>
            <w:shd w:val="clear" w:color="auto" w:fill="auto"/>
            <w:vAlign w:val="bottom"/>
          </w:tcPr>
          <w:p w14:paraId="44FB717A" w14:textId="77777777" w:rsidR="00713EDC" w:rsidRDefault="00713EDC" w:rsidP="008865CA">
            <w:pPr>
              <w:spacing w:line="0" w:lineRule="atLeast"/>
              <w:rPr>
                <w:sz w:val="19"/>
              </w:rPr>
            </w:pPr>
          </w:p>
        </w:tc>
        <w:tc>
          <w:tcPr>
            <w:tcW w:w="58" w:type="dxa"/>
            <w:shd w:val="clear" w:color="auto" w:fill="auto"/>
            <w:vAlign w:val="bottom"/>
          </w:tcPr>
          <w:p w14:paraId="7D3D2A83" w14:textId="77777777" w:rsidR="00713EDC" w:rsidRDefault="00713EDC" w:rsidP="008865CA">
            <w:pPr>
              <w:spacing w:line="0" w:lineRule="atLeast"/>
              <w:rPr>
                <w:sz w:val="19"/>
              </w:rPr>
            </w:pPr>
          </w:p>
        </w:tc>
        <w:tc>
          <w:tcPr>
            <w:tcW w:w="29" w:type="dxa"/>
            <w:shd w:val="clear" w:color="auto" w:fill="auto"/>
            <w:vAlign w:val="bottom"/>
          </w:tcPr>
          <w:p w14:paraId="2E94D196" w14:textId="77777777" w:rsidR="00713EDC" w:rsidRDefault="00713EDC" w:rsidP="008865CA">
            <w:pPr>
              <w:spacing w:line="0" w:lineRule="atLeast"/>
              <w:rPr>
                <w:sz w:val="19"/>
              </w:rPr>
            </w:pPr>
          </w:p>
        </w:tc>
        <w:tc>
          <w:tcPr>
            <w:tcW w:w="345" w:type="dxa"/>
            <w:shd w:val="clear" w:color="auto" w:fill="auto"/>
            <w:vAlign w:val="bottom"/>
          </w:tcPr>
          <w:p w14:paraId="1E3933D9" w14:textId="77777777" w:rsidR="00713EDC" w:rsidRDefault="00713EDC" w:rsidP="008865CA">
            <w:pPr>
              <w:spacing w:line="0" w:lineRule="atLeast"/>
              <w:rPr>
                <w:sz w:val="19"/>
              </w:rPr>
            </w:pPr>
          </w:p>
        </w:tc>
        <w:tc>
          <w:tcPr>
            <w:tcW w:w="980" w:type="dxa"/>
            <w:shd w:val="clear" w:color="auto" w:fill="auto"/>
            <w:vAlign w:val="bottom"/>
          </w:tcPr>
          <w:p w14:paraId="1386C2D5" w14:textId="77777777" w:rsidR="00713EDC" w:rsidRDefault="00713EDC" w:rsidP="008865CA">
            <w:pPr>
              <w:spacing w:line="0" w:lineRule="atLeast"/>
              <w:rPr>
                <w:sz w:val="19"/>
              </w:rPr>
            </w:pPr>
          </w:p>
        </w:tc>
        <w:tc>
          <w:tcPr>
            <w:tcW w:w="864" w:type="dxa"/>
            <w:shd w:val="clear" w:color="auto" w:fill="auto"/>
            <w:vAlign w:val="bottom"/>
          </w:tcPr>
          <w:p w14:paraId="33ED254B" w14:textId="77777777" w:rsidR="00713EDC" w:rsidRDefault="00713EDC" w:rsidP="008865CA">
            <w:pPr>
              <w:spacing w:line="0" w:lineRule="atLeast"/>
              <w:rPr>
                <w:sz w:val="19"/>
              </w:rPr>
            </w:pPr>
          </w:p>
        </w:tc>
      </w:tr>
    </w:tbl>
    <w:p w14:paraId="7A6469AB" w14:textId="77777777" w:rsidR="00713EDC" w:rsidRDefault="00713EDC" w:rsidP="00713EDC">
      <w:pPr>
        <w:spacing w:line="360" w:lineRule="auto"/>
        <w:jc w:val="both"/>
        <w:rPr>
          <w:sz w:val="28"/>
          <w:szCs w:val="28"/>
        </w:rPr>
      </w:pPr>
    </w:p>
    <w:p w14:paraId="7936D189" w14:textId="77777777" w:rsidR="00713EDC" w:rsidRDefault="00713EDC" w:rsidP="00713EDC">
      <w:pPr>
        <w:spacing w:line="360" w:lineRule="auto"/>
        <w:jc w:val="both"/>
        <w:rPr>
          <w:sz w:val="28"/>
          <w:szCs w:val="28"/>
        </w:rPr>
      </w:pPr>
    </w:p>
    <w:p w14:paraId="47115DE5" w14:textId="77777777" w:rsidR="00713EDC" w:rsidRDefault="00713EDC" w:rsidP="00713EDC">
      <w:pPr>
        <w:spacing w:line="360" w:lineRule="auto"/>
        <w:jc w:val="both"/>
        <w:rPr>
          <w:sz w:val="28"/>
          <w:szCs w:val="28"/>
        </w:rPr>
      </w:pPr>
    </w:p>
    <w:p w14:paraId="034C2225" w14:textId="77777777" w:rsidR="00BA5E47" w:rsidRDefault="00BA5E47" w:rsidP="00713EDC">
      <w:pPr>
        <w:spacing w:line="360" w:lineRule="auto"/>
        <w:jc w:val="both"/>
        <w:rPr>
          <w:sz w:val="28"/>
          <w:szCs w:val="28"/>
        </w:rPr>
      </w:pPr>
    </w:p>
    <w:p w14:paraId="004BEE0A" w14:textId="77777777" w:rsidR="00713EDC" w:rsidRDefault="00713EDC" w:rsidP="00713EDC">
      <w:pPr>
        <w:spacing w:line="360" w:lineRule="auto"/>
        <w:rPr>
          <w:b/>
          <w:sz w:val="28"/>
          <w:szCs w:val="28"/>
        </w:rPr>
      </w:pPr>
      <w:r w:rsidRPr="00713EDC">
        <w:rPr>
          <w:b/>
          <w:sz w:val="28"/>
          <w:szCs w:val="28"/>
        </w:rPr>
        <w:t>Decile dispersion ratio</w:t>
      </w:r>
    </w:p>
    <w:p w14:paraId="7BF7B2EC" w14:textId="77777777" w:rsidR="00713EDC" w:rsidRDefault="00713EDC" w:rsidP="00713EDC">
      <w:pPr>
        <w:spacing w:line="360" w:lineRule="auto"/>
        <w:rPr>
          <w:b/>
          <w:sz w:val="28"/>
          <w:szCs w:val="28"/>
        </w:rPr>
      </w:pPr>
    </w:p>
    <w:p w14:paraId="6897F7E7" w14:textId="77777777" w:rsidR="00713EDC" w:rsidRPr="00713EDC" w:rsidRDefault="00713EDC" w:rsidP="00713EDC">
      <w:pPr>
        <w:spacing w:line="360" w:lineRule="auto"/>
        <w:rPr>
          <w:sz w:val="28"/>
          <w:szCs w:val="28"/>
        </w:rPr>
      </w:pPr>
    </w:p>
    <w:p w14:paraId="290E3DFF" w14:textId="77777777" w:rsidR="00713EDC" w:rsidRDefault="00713EDC" w:rsidP="00BA5E47">
      <w:pPr>
        <w:spacing w:line="360" w:lineRule="auto"/>
        <w:ind w:firstLine="720"/>
        <w:rPr>
          <w:sz w:val="28"/>
          <w:szCs w:val="28"/>
        </w:rPr>
      </w:pPr>
      <w:r w:rsidRPr="00713EDC">
        <w:rPr>
          <w:sz w:val="28"/>
          <w:szCs w:val="28"/>
        </w:rPr>
        <w:t>A simple and widely used measure is the decile dispersion ratio, which shows the average income ratio of the richest 10 per cent of the population divided by the lowest 10 per cent average income.</w:t>
      </w:r>
      <w:r>
        <w:rPr>
          <w:sz w:val="28"/>
          <w:szCs w:val="28"/>
        </w:rPr>
        <w:t xml:space="preserve"> </w:t>
      </w:r>
      <w:r w:rsidRPr="00713EDC">
        <w:rPr>
          <w:sz w:val="28"/>
          <w:szCs w:val="28"/>
        </w:rPr>
        <w:t>For other percentiles, this ratio can also be calculated (for example, dividing the average consumption of the richest 5 %, the 95th percentile, by that of the poorest 5 %, the 5th percentile).</w:t>
      </w:r>
      <w:r>
        <w:rPr>
          <w:sz w:val="28"/>
          <w:szCs w:val="28"/>
        </w:rPr>
        <w:t xml:space="preserve"> </w:t>
      </w:r>
    </w:p>
    <w:p w14:paraId="226D3AC0" w14:textId="77777777" w:rsidR="00713EDC" w:rsidRDefault="00713EDC" w:rsidP="00713EDC">
      <w:pPr>
        <w:spacing w:line="360" w:lineRule="auto"/>
        <w:rPr>
          <w:sz w:val="28"/>
          <w:szCs w:val="28"/>
        </w:rPr>
      </w:pPr>
    </w:p>
    <w:p w14:paraId="5373ACCB" w14:textId="77777777" w:rsidR="00713EDC" w:rsidRPr="00713EDC" w:rsidRDefault="00713EDC" w:rsidP="00BA5E47">
      <w:pPr>
        <w:spacing w:line="360" w:lineRule="auto"/>
        <w:ind w:firstLine="720"/>
        <w:rPr>
          <w:sz w:val="28"/>
          <w:szCs w:val="28"/>
        </w:rPr>
        <w:sectPr w:rsidR="00713EDC" w:rsidRPr="00713EDC" w:rsidSect="006255BC">
          <w:pgSz w:w="11906" w:h="16838"/>
          <w:pgMar w:top="1418" w:right="1418" w:bottom="1418" w:left="1418" w:header="709" w:footer="709" w:gutter="0"/>
          <w:cols w:space="708"/>
          <w:docGrid w:linePitch="360"/>
        </w:sectPr>
      </w:pPr>
      <w:r w:rsidRPr="00713EDC">
        <w:rPr>
          <w:sz w:val="28"/>
          <w:szCs w:val="28"/>
        </w:rPr>
        <w:t>The decile ratio can be readily interpreted by expressing the income of the top 10% (the "rich") as a multiple of the income of the poorest decile (the "poor"). However, in the middle of the income distribution, it ignores information about income and does not even use information about income distribution within the top and bottom deciles.</w:t>
      </w:r>
    </w:p>
    <w:p w14:paraId="17B8C7CF" w14:textId="5B52DE6D" w:rsidR="008469A5" w:rsidRPr="00E73BEA" w:rsidRDefault="00C451E3" w:rsidP="00CA3FB5">
      <w:pPr>
        <w:pStyle w:val="Heading1"/>
        <w:rPr>
          <w:rFonts w:ascii="Times New Roman" w:hAnsi="Times New Roman" w:cs="Times New Roman"/>
          <w:sz w:val="40"/>
          <w:szCs w:val="40"/>
        </w:rPr>
      </w:pPr>
      <w:bookmarkStart w:id="22" w:name="_Ref8140068"/>
      <w:bookmarkStart w:id="23" w:name="_Toc8434888"/>
      <w:bookmarkEnd w:id="19"/>
      <w:r>
        <w:rPr>
          <w:rFonts w:ascii="Times New Roman" w:hAnsi="Times New Roman" w:cs="Times New Roman"/>
          <w:sz w:val="40"/>
          <w:szCs w:val="40"/>
        </w:rPr>
        <w:t xml:space="preserve">Effects of Inequality on </w:t>
      </w:r>
      <w:r w:rsidR="00D61993">
        <w:rPr>
          <w:rFonts w:ascii="Times New Roman" w:hAnsi="Times New Roman" w:cs="Times New Roman"/>
          <w:sz w:val="40"/>
          <w:szCs w:val="40"/>
        </w:rPr>
        <w:t>Economic growth</w:t>
      </w:r>
      <w:bookmarkEnd w:id="22"/>
      <w:bookmarkEnd w:id="23"/>
    </w:p>
    <w:p w14:paraId="26D5FE6F" w14:textId="77777777" w:rsidR="00CA3FB5" w:rsidRPr="00CA3FB5" w:rsidRDefault="00CA3FB5" w:rsidP="00CA3FB5"/>
    <w:p w14:paraId="4DD074F1" w14:textId="77777777" w:rsidR="005920D1" w:rsidRPr="00C50C14" w:rsidRDefault="005920D1" w:rsidP="005920D1">
      <w:pPr>
        <w:pStyle w:val="Heading2"/>
        <w:spacing w:line="360" w:lineRule="auto"/>
        <w:jc w:val="both"/>
        <w:rPr>
          <w:rFonts w:ascii="Times New Roman" w:hAnsi="Times New Roman"/>
          <w:szCs w:val="24"/>
          <w:lang w:val="en-US"/>
        </w:rPr>
      </w:pPr>
      <w:bookmarkStart w:id="24" w:name="_Toc8434889"/>
      <w:bookmarkStart w:id="25" w:name="_Ref8140177"/>
      <w:r w:rsidRPr="00C50C14">
        <w:rPr>
          <w:rFonts w:ascii="Times New Roman" w:hAnsi="Times New Roman"/>
          <w:szCs w:val="24"/>
          <w:lang w:val="en-US"/>
        </w:rPr>
        <w:t>Analysis of the impact of Inequality on Economic growth of countries</w:t>
      </w:r>
      <w:bookmarkEnd w:id="24"/>
    </w:p>
    <w:p w14:paraId="4B9A3E91" w14:textId="77777777" w:rsidR="005920D1" w:rsidRDefault="005920D1" w:rsidP="005920D1">
      <w:pPr>
        <w:rPr>
          <w:lang w:val="en-US"/>
        </w:rPr>
      </w:pPr>
    </w:p>
    <w:p w14:paraId="775F22FB" w14:textId="77777777" w:rsidR="005920D1" w:rsidRDefault="005920D1" w:rsidP="005920D1">
      <w:pPr>
        <w:rPr>
          <w:lang w:val="en-US"/>
        </w:rPr>
      </w:pPr>
    </w:p>
    <w:p w14:paraId="4FA4903C" w14:textId="77777777" w:rsidR="005920D1" w:rsidRPr="005920D1" w:rsidRDefault="005920D1" w:rsidP="005920D1">
      <w:pPr>
        <w:rPr>
          <w:lang w:val="en-US"/>
        </w:rPr>
      </w:pPr>
    </w:p>
    <w:p w14:paraId="6E0B127A" w14:textId="77777777" w:rsidR="005920D1" w:rsidRPr="00316974" w:rsidRDefault="005920D1" w:rsidP="005920D1">
      <w:pPr>
        <w:spacing w:line="360" w:lineRule="auto"/>
        <w:ind w:firstLine="576"/>
        <w:jc w:val="both"/>
        <w:rPr>
          <w:sz w:val="28"/>
          <w:lang w:val="en-US"/>
        </w:rPr>
      </w:pPr>
      <w:r w:rsidRPr="00316974">
        <w:rPr>
          <w:sz w:val="28"/>
          <w:lang w:val="en-US"/>
        </w:rPr>
        <w:t>Economic growth is the increase in an economy's inflation-adjusted market value of goods and services over time. It is conventionally measured as the rate of real gross domestic product or real GDP increase percentage.</w:t>
      </w:r>
    </w:p>
    <w:p w14:paraId="39D0B693" w14:textId="77777777" w:rsidR="005920D1" w:rsidRPr="00316974" w:rsidRDefault="005920D1" w:rsidP="005920D1">
      <w:pPr>
        <w:tabs>
          <w:tab w:val="left" w:pos="1275"/>
        </w:tabs>
        <w:spacing w:line="360" w:lineRule="auto"/>
        <w:jc w:val="both"/>
        <w:rPr>
          <w:sz w:val="28"/>
          <w:lang w:val="en-US"/>
        </w:rPr>
      </w:pPr>
      <w:r>
        <w:rPr>
          <w:sz w:val="28"/>
          <w:lang w:val="en-US"/>
        </w:rPr>
        <w:tab/>
      </w:r>
    </w:p>
    <w:p w14:paraId="16F90098" w14:textId="77777777" w:rsidR="005920D1" w:rsidRDefault="005920D1" w:rsidP="005920D1">
      <w:pPr>
        <w:spacing w:line="360" w:lineRule="auto"/>
        <w:ind w:firstLine="576"/>
        <w:jc w:val="both"/>
        <w:rPr>
          <w:sz w:val="28"/>
          <w:lang w:val="en-US"/>
        </w:rPr>
      </w:pPr>
      <w:r w:rsidRPr="00316974">
        <w:rPr>
          <w:sz w:val="28"/>
          <w:lang w:val="en-US"/>
        </w:rPr>
        <w:t>Growth is usually calculated in real terms - i.e., inflation-adjusted terms – to eliminate the distorting effect of inflation on the price of goods produced. Measurement of economic growth uses national income accounting. Since economic growth is measured as the annual per cent change of gross domestic product (GDP), it has all the advantages and drawbacks of that measure. The economic growth rates of nations are commonly compared using the ratio of the GDP to population or per-capita income.</w:t>
      </w:r>
    </w:p>
    <w:p w14:paraId="69987CDD" w14:textId="77777777" w:rsidR="005920D1" w:rsidRPr="00316974" w:rsidRDefault="005920D1" w:rsidP="005920D1">
      <w:pPr>
        <w:spacing w:line="360" w:lineRule="auto"/>
        <w:jc w:val="both"/>
        <w:rPr>
          <w:sz w:val="28"/>
          <w:lang w:val="en-US"/>
        </w:rPr>
      </w:pPr>
    </w:p>
    <w:p w14:paraId="19FB2C97" w14:textId="77777777" w:rsidR="005920D1" w:rsidRDefault="005920D1" w:rsidP="005920D1">
      <w:pPr>
        <w:spacing w:after="360" w:line="360" w:lineRule="auto"/>
        <w:ind w:firstLine="576"/>
        <w:jc w:val="both"/>
        <w:rPr>
          <w:sz w:val="28"/>
        </w:rPr>
      </w:pPr>
      <w:r w:rsidRPr="00A47A70">
        <w:rPr>
          <w:sz w:val="28"/>
        </w:rPr>
        <w:t>The best way to measure economic growth is by gross domestic product. It takes into account the whole economic output of the country. It includes all the goods and services that are produced for sale by companies in the country. Whether they are sold domestically or overseas, it doesn't matter.</w:t>
      </w:r>
    </w:p>
    <w:p w14:paraId="53EA4B76" w14:textId="77777777" w:rsidR="005920D1" w:rsidRPr="00E071B2" w:rsidRDefault="005920D1" w:rsidP="005920D1">
      <w:pPr>
        <w:spacing w:after="360" w:line="360" w:lineRule="auto"/>
        <w:ind w:firstLine="576"/>
        <w:jc w:val="both"/>
        <w:rPr>
          <w:sz w:val="28"/>
        </w:rPr>
      </w:pPr>
      <w:r w:rsidRPr="00E071B2">
        <w:rPr>
          <w:sz w:val="28"/>
        </w:rPr>
        <w:t>The growth rate of GDP measures the rapid growth of the economy. It does this by comparing the gross domestic product of one-quarter of the country with the previous quarter. GDP measures a</w:t>
      </w:r>
      <w:r>
        <w:rPr>
          <w:sz w:val="28"/>
        </w:rPr>
        <w:t xml:space="preserve"> nation's economic performance.</w:t>
      </w:r>
    </w:p>
    <w:p w14:paraId="5E5DC6F5" w14:textId="77777777" w:rsidR="005920D1" w:rsidRDefault="005920D1" w:rsidP="005920D1">
      <w:pPr>
        <w:spacing w:after="360" w:line="360" w:lineRule="auto"/>
        <w:ind w:firstLine="576"/>
        <w:jc w:val="both"/>
        <w:rPr>
          <w:sz w:val="28"/>
        </w:rPr>
      </w:pPr>
      <w:r w:rsidRPr="00E071B2">
        <w:rPr>
          <w:sz w:val="28"/>
        </w:rPr>
        <w:t>The growth rate of GDP is driven by GDP's four components. Personal consumption is the major driver of GDP growth. This includes the retail sales critical sector. The second component is an investment in a business, including levels of construction and inventory. The third driver of growth is government spending. Its largest categories are benefits from social security, spending on defence, and benefits from Medicare. Often during a recession, the government increases spending to jump-start the economy. Fourthly, there is net trade.</w:t>
      </w:r>
    </w:p>
    <w:p w14:paraId="4EA67DB8" w14:textId="77777777" w:rsidR="005920D1" w:rsidRDefault="005920D1" w:rsidP="005920D1">
      <w:pPr>
        <w:rPr>
          <w:lang w:val="en-US"/>
        </w:rPr>
      </w:pPr>
    </w:p>
    <w:p w14:paraId="6431D814" w14:textId="77777777" w:rsidR="005920D1" w:rsidRDefault="005920D1" w:rsidP="005920D1">
      <w:pPr>
        <w:rPr>
          <w:lang w:val="en-US"/>
        </w:rPr>
      </w:pPr>
    </w:p>
    <w:p w14:paraId="673B681B" w14:textId="77777777" w:rsidR="005920D1" w:rsidRDefault="005920D1" w:rsidP="005920D1">
      <w:pPr>
        <w:rPr>
          <w:lang w:val="en-US"/>
        </w:rPr>
      </w:pPr>
    </w:p>
    <w:p w14:paraId="6D15C2C6" w14:textId="77777777" w:rsidR="005920D1" w:rsidRDefault="005920D1" w:rsidP="005920D1">
      <w:pPr>
        <w:rPr>
          <w:lang w:val="en-US"/>
        </w:rPr>
      </w:pPr>
    </w:p>
    <w:p w14:paraId="76DE2681" w14:textId="77777777" w:rsidR="005920D1" w:rsidRPr="00DD5313" w:rsidRDefault="005920D1" w:rsidP="005920D1">
      <w:pPr>
        <w:rPr>
          <w:lang w:val="en-US"/>
        </w:rPr>
      </w:pPr>
    </w:p>
    <w:p w14:paraId="43781760" w14:textId="77777777" w:rsidR="005920D1" w:rsidRPr="00C50C14" w:rsidRDefault="005920D1" w:rsidP="005920D1">
      <w:pPr>
        <w:pStyle w:val="Heading3"/>
        <w:jc w:val="both"/>
        <w:rPr>
          <w:rFonts w:ascii="Times New Roman" w:hAnsi="Times New Roman"/>
          <w:b/>
          <w:sz w:val="28"/>
          <w:szCs w:val="24"/>
          <w:lang w:val="en-US"/>
        </w:rPr>
      </w:pPr>
      <w:bookmarkStart w:id="26" w:name="_Ref8141339"/>
      <w:bookmarkStart w:id="27" w:name="_Toc8434890"/>
      <w:r w:rsidRPr="00C50C14">
        <w:rPr>
          <w:rFonts w:ascii="Times New Roman" w:hAnsi="Times New Roman"/>
          <w:b/>
          <w:sz w:val="28"/>
          <w:szCs w:val="24"/>
          <w:lang w:val="en-US"/>
        </w:rPr>
        <w:t>Economic growth of Developed Countries</w:t>
      </w:r>
      <w:bookmarkEnd w:id="26"/>
      <w:bookmarkEnd w:id="27"/>
    </w:p>
    <w:p w14:paraId="7125A918" w14:textId="77777777" w:rsidR="005920D1" w:rsidRDefault="005920D1" w:rsidP="005920D1">
      <w:pPr>
        <w:rPr>
          <w:lang w:val="en-US"/>
        </w:rPr>
      </w:pPr>
    </w:p>
    <w:p w14:paraId="4CD4FB26" w14:textId="77777777" w:rsidR="005920D1" w:rsidRPr="00BF3DB8" w:rsidRDefault="005920D1" w:rsidP="005920D1">
      <w:pPr>
        <w:rPr>
          <w:lang w:val="en-US"/>
        </w:rPr>
      </w:pPr>
    </w:p>
    <w:p w14:paraId="21B3BD32" w14:textId="77777777" w:rsidR="005920D1" w:rsidRDefault="005920D1" w:rsidP="005920D1">
      <w:pPr>
        <w:rPr>
          <w:lang w:val="en-US"/>
        </w:rPr>
      </w:pPr>
    </w:p>
    <w:p w14:paraId="076DD938" w14:textId="77777777" w:rsidR="005920D1" w:rsidRDefault="005920D1" w:rsidP="005920D1">
      <w:pPr>
        <w:spacing w:line="360" w:lineRule="auto"/>
        <w:ind w:firstLine="720"/>
        <w:jc w:val="both"/>
        <w:rPr>
          <w:sz w:val="28"/>
          <w:lang w:val="en-US"/>
        </w:rPr>
      </w:pPr>
      <w:r w:rsidRPr="00BF3DB8">
        <w:rPr>
          <w:sz w:val="28"/>
          <w:lang w:val="en-US"/>
        </w:rPr>
        <w:t xml:space="preserve">Figure 4 shows the differences between the figures of the developed countries selected from the countries of the world. These figures are annual changes in the real economic development of countries from 2006 to 2015. As can be seen from the graph, in most countries, economic growth is constantly increasing. However, in most of the countries in 2009, we can see that economic growth is rapidly declining. </w:t>
      </w:r>
    </w:p>
    <w:p w14:paraId="1C32F9B6" w14:textId="77777777" w:rsidR="005920D1" w:rsidRDefault="005920D1" w:rsidP="005920D1">
      <w:pPr>
        <w:spacing w:line="360" w:lineRule="auto"/>
        <w:ind w:firstLine="720"/>
        <w:jc w:val="both"/>
        <w:rPr>
          <w:sz w:val="28"/>
          <w:lang w:val="en-US"/>
        </w:rPr>
      </w:pPr>
    </w:p>
    <w:p w14:paraId="6AA26FB7" w14:textId="77777777" w:rsidR="005920D1" w:rsidRDefault="005920D1" w:rsidP="005920D1">
      <w:pPr>
        <w:spacing w:line="360" w:lineRule="auto"/>
        <w:ind w:firstLine="720"/>
        <w:jc w:val="both"/>
        <w:rPr>
          <w:sz w:val="28"/>
          <w:lang w:val="az-Latn-AZ"/>
        </w:rPr>
      </w:pPr>
      <w:r w:rsidRPr="00BF3DB8">
        <w:rPr>
          <w:sz w:val="28"/>
          <w:lang w:val="en-US"/>
        </w:rPr>
        <w:t>The economic development of China remained positively in 2009 despite the negative indicators taken by other countries and China's economy has evolved faster and faster since China implemented the reform and open policy in 1978, and the rate of economic growth has increased tremendously in recent years. Based on data from China's National Statistics Bureau, the aver</w:t>
      </w:r>
      <w:r>
        <w:rPr>
          <w:sz w:val="28"/>
          <w:lang w:val="en-US"/>
        </w:rPr>
        <w:t xml:space="preserve">age growth rate has reached </w:t>
      </w:r>
      <w:r w:rsidRPr="00BF3DB8">
        <w:rPr>
          <w:sz w:val="28"/>
          <w:lang w:val="en-US"/>
        </w:rPr>
        <w:t>6.9</w:t>
      </w:r>
      <w:r>
        <w:rPr>
          <w:sz w:val="28"/>
          <w:lang w:val="en-US"/>
        </w:rPr>
        <w:t xml:space="preserve"> p</w:t>
      </w:r>
      <w:r w:rsidRPr="00BF3DB8">
        <w:rPr>
          <w:sz w:val="28"/>
          <w:lang w:val="en-US"/>
        </w:rPr>
        <w:t>er cent over the past 10 years, making it the world's third largest economic entity</w:t>
      </w:r>
      <w:r w:rsidRPr="00572354">
        <w:rPr>
          <w:sz w:val="28"/>
          <w:lang w:val="az-Latn-AZ"/>
        </w:rPr>
        <w:t>.</w:t>
      </w:r>
      <w:r>
        <w:rPr>
          <w:sz w:val="28"/>
          <w:lang w:val="az-Latn-AZ"/>
        </w:rPr>
        <w:t xml:space="preserve"> </w:t>
      </w:r>
      <w:r w:rsidRPr="00BF3DB8">
        <w:rPr>
          <w:sz w:val="28"/>
          <w:lang w:val="az-Latn-AZ"/>
        </w:rPr>
        <w:t>As we can see from the graph, despite the decline in most of the countries' economy in 2009, there has been a steady increase in the fixed rates in the following years. This reflects the perspective of measures that countries must take to ensure the sustainable growth of real economic development.</w:t>
      </w:r>
    </w:p>
    <w:p w14:paraId="74A4ACF3" w14:textId="77777777" w:rsidR="005920D1" w:rsidRDefault="005920D1" w:rsidP="005920D1">
      <w:pPr>
        <w:spacing w:line="360" w:lineRule="auto"/>
        <w:jc w:val="both"/>
        <w:rPr>
          <w:sz w:val="28"/>
          <w:lang w:val="az-Latn-AZ"/>
        </w:rPr>
      </w:pPr>
    </w:p>
    <w:p w14:paraId="6C8BCE93" w14:textId="77777777" w:rsidR="005920D1" w:rsidRDefault="005920D1" w:rsidP="005920D1">
      <w:pPr>
        <w:jc w:val="center"/>
        <w:rPr>
          <w:lang w:val="en-US"/>
        </w:rPr>
      </w:pPr>
      <w:r>
        <w:rPr>
          <w:noProof/>
          <w:lang w:val="en-US" w:eastAsia="en-US"/>
        </w:rPr>
        <w:drawing>
          <wp:inline distT="0" distB="0" distL="0" distR="0" wp14:anchorId="48A5CCEE" wp14:editId="1BB39F67">
            <wp:extent cx="4705350" cy="3060700"/>
            <wp:effectExtent l="0" t="0" r="0" b="6350"/>
            <wp:docPr id="8" name="Chart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ACA3926-E816-4076-8E00-A8BC9F3B7B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A80D79C" w14:textId="77777777" w:rsidR="005920D1" w:rsidRPr="009150CD" w:rsidRDefault="005920D1" w:rsidP="005920D1">
      <w:pPr>
        <w:rPr>
          <w:lang w:val="en-US"/>
        </w:rPr>
      </w:pPr>
    </w:p>
    <w:p w14:paraId="4BDC5F67" w14:textId="77777777" w:rsidR="005920D1" w:rsidRDefault="005920D1" w:rsidP="005920D1">
      <w:pPr>
        <w:rPr>
          <w:b/>
          <w:i/>
          <w:lang w:val="en-US"/>
        </w:rPr>
      </w:pPr>
      <w:r>
        <w:rPr>
          <w:noProof/>
          <w:lang w:val="en-US" w:eastAsia="en-US"/>
        </w:rPr>
        <w:drawing>
          <wp:inline distT="0" distB="0" distL="0" distR="0" wp14:anchorId="54F6FD32" wp14:editId="225C4BA5">
            <wp:extent cx="4667250" cy="5461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2992" cy="570173"/>
                    </a:xfrm>
                    <a:prstGeom prst="rect">
                      <a:avLst/>
                    </a:prstGeom>
                    <a:noFill/>
                    <a:ln>
                      <a:noFill/>
                    </a:ln>
                  </pic:spPr>
                </pic:pic>
              </a:graphicData>
            </a:graphic>
          </wp:inline>
        </w:drawing>
      </w:r>
    </w:p>
    <w:p w14:paraId="6044C330" w14:textId="77777777" w:rsidR="005920D1" w:rsidRDefault="005920D1" w:rsidP="005920D1">
      <w:pPr>
        <w:rPr>
          <w:lang w:val="en-US"/>
        </w:rPr>
      </w:pPr>
    </w:p>
    <w:p w14:paraId="4901014C" w14:textId="77777777" w:rsidR="005920D1" w:rsidRDefault="005920D1" w:rsidP="005920D1">
      <w:pPr>
        <w:rPr>
          <w:lang w:val="en-US"/>
        </w:rPr>
      </w:pPr>
    </w:p>
    <w:p w14:paraId="469B99EC" w14:textId="77777777" w:rsidR="005920D1" w:rsidRDefault="005920D1" w:rsidP="005920D1">
      <w:pPr>
        <w:rPr>
          <w:lang w:val="en-US"/>
        </w:rPr>
      </w:pPr>
    </w:p>
    <w:p w14:paraId="5A6CE05A" w14:textId="77777777" w:rsidR="005920D1" w:rsidRPr="00BF3DB8" w:rsidRDefault="005920D1" w:rsidP="005920D1">
      <w:pPr>
        <w:rPr>
          <w:lang w:val="en-US"/>
        </w:rPr>
      </w:pPr>
    </w:p>
    <w:p w14:paraId="1DE7D2EF" w14:textId="77777777" w:rsidR="005920D1" w:rsidRPr="00C50C14" w:rsidRDefault="005920D1" w:rsidP="005920D1">
      <w:pPr>
        <w:pStyle w:val="Heading3"/>
        <w:jc w:val="both"/>
        <w:rPr>
          <w:rFonts w:ascii="Times New Roman" w:hAnsi="Times New Roman"/>
          <w:b/>
          <w:sz w:val="28"/>
          <w:szCs w:val="24"/>
          <w:lang w:val="en-US"/>
        </w:rPr>
      </w:pPr>
      <w:r>
        <w:rPr>
          <w:rFonts w:ascii="Times New Roman" w:hAnsi="Times New Roman"/>
          <w:b/>
          <w:i w:val="0"/>
          <w:sz w:val="28"/>
          <w:szCs w:val="24"/>
          <w:lang w:val="en-US"/>
        </w:rPr>
        <w:t xml:space="preserve"> </w:t>
      </w:r>
      <w:bookmarkStart w:id="28" w:name="_Ref8141437"/>
      <w:bookmarkStart w:id="29" w:name="_Toc8434891"/>
      <w:r w:rsidRPr="00C50C14">
        <w:rPr>
          <w:rFonts w:ascii="Times New Roman" w:hAnsi="Times New Roman"/>
          <w:b/>
          <w:sz w:val="28"/>
          <w:szCs w:val="24"/>
          <w:lang w:val="en-US"/>
        </w:rPr>
        <w:t>Economic growth of Emerging Countries</w:t>
      </w:r>
      <w:bookmarkEnd w:id="28"/>
      <w:bookmarkEnd w:id="29"/>
    </w:p>
    <w:p w14:paraId="6193E66D" w14:textId="77777777" w:rsidR="005920D1" w:rsidRPr="005E1D34" w:rsidRDefault="005920D1" w:rsidP="005920D1">
      <w:pPr>
        <w:rPr>
          <w:lang w:val="en-US"/>
        </w:rPr>
      </w:pPr>
    </w:p>
    <w:p w14:paraId="01FBC801" w14:textId="77777777" w:rsidR="005920D1" w:rsidRDefault="005920D1" w:rsidP="005920D1">
      <w:pPr>
        <w:rPr>
          <w:lang w:val="en-US"/>
        </w:rPr>
      </w:pPr>
    </w:p>
    <w:p w14:paraId="33349120" w14:textId="77777777" w:rsidR="005920D1" w:rsidRDefault="005920D1" w:rsidP="005920D1">
      <w:pPr>
        <w:rPr>
          <w:lang w:val="en-US"/>
        </w:rPr>
      </w:pPr>
    </w:p>
    <w:p w14:paraId="02B04C67" w14:textId="77777777" w:rsidR="005920D1" w:rsidRPr="005E1D34" w:rsidRDefault="005920D1" w:rsidP="005920D1">
      <w:pPr>
        <w:spacing w:line="360" w:lineRule="auto"/>
        <w:ind w:firstLine="720"/>
        <w:jc w:val="both"/>
        <w:rPr>
          <w:sz w:val="28"/>
          <w:lang w:val="en-US"/>
        </w:rPr>
      </w:pPr>
      <w:r w:rsidRPr="005E1D34">
        <w:rPr>
          <w:sz w:val="28"/>
          <w:lang w:val="en-US"/>
        </w:rPr>
        <w:t xml:space="preserve">Figure 5 shows the rates of economic development of some </w:t>
      </w:r>
      <w:r>
        <w:rPr>
          <w:sz w:val="28"/>
          <w:lang w:val="en-US"/>
        </w:rPr>
        <w:t>emerging</w:t>
      </w:r>
      <w:r w:rsidRPr="005E1D34">
        <w:rPr>
          <w:sz w:val="28"/>
          <w:lang w:val="en-US"/>
        </w:rPr>
        <w:t xml:space="preserve"> countries from 2006 to 2015. Economic growth in this graph slowed down in developed countries as well as in 2009. In countries such as Lithuania, Estonia and Latvia, even though economic growth in 2009 weakened by large differences (-14.8, -14.7, -14.4), in the following years it reached an average of 2-3 per cent with an average of 17 per cent.</w:t>
      </w:r>
    </w:p>
    <w:p w14:paraId="406FB262" w14:textId="77777777" w:rsidR="005920D1" w:rsidRPr="005E1D34" w:rsidRDefault="005920D1" w:rsidP="005920D1">
      <w:pPr>
        <w:spacing w:line="360" w:lineRule="auto"/>
        <w:jc w:val="both"/>
        <w:rPr>
          <w:sz w:val="28"/>
          <w:lang w:val="en-US"/>
        </w:rPr>
      </w:pPr>
    </w:p>
    <w:p w14:paraId="181B1E77" w14:textId="77777777" w:rsidR="005920D1" w:rsidRDefault="005920D1" w:rsidP="005920D1">
      <w:pPr>
        <w:spacing w:line="360" w:lineRule="auto"/>
        <w:ind w:firstLine="720"/>
        <w:jc w:val="both"/>
        <w:rPr>
          <w:sz w:val="28"/>
          <w:lang w:val="en-US"/>
        </w:rPr>
      </w:pPr>
      <w:r w:rsidRPr="005E1D34">
        <w:rPr>
          <w:sz w:val="28"/>
          <w:lang w:val="en-US"/>
        </w:rPr>
        <w:t xml:space="preserve">However, as can be seen from the graph, as a result of the reform and policies of the Polish state, weakening was not a negative indicator despite the beginning. And the country reached 3.8 per cent in 2015 with the pace of sustainable development. In addition, the Czech Republic was the highest figure in economic growth and rose 5.3% in 2015. In the graph, Greece has a negative outlook among countries that differ in economic </w:t>
      </w:r>
      <w:r>
        <w:rPr>
          <w:sz w:val="28"/>
          <w:lang w:val="en-US"/>
        </w:rPr>
        <w:t>growth</w:t>
      </w:r>
      <w:r w:rsidRPr="005E1D34">
        <w:rPr>
          <w:sz w:val="28"/>
          <w:lang w:val="en-US"/>
        </w:rPr>
        <w:t>. Despite policies and measures aimed at economic development in the country, Greece has largely replaced its position on the chart at a price lower than 0.</w:t>
      </w:r>
    </w:p>
    <w:p w14:paraId="636C82EF" w14:textId="77777777" w:rsidR="005920D1" w:rsidRDefault="005920D1" w:rsidP="005920D1">
      <w:pPr>
        <w:spacing w:line="360" w:lineRule="auto"/>
        <w:jc w:val="both"/>
        <w:rPr>
          <w:sz w:val="28"/>
          <w:lang w:val="en-US"/>
        </w:rPr>
      </w:pPr>
    </w:p>
    <w:p w14:paraId="54E80482" w14:textId="77777777" w:rsidR="005920D1" w:rsidRPr="005E1D34" w:rsidRDefault="005920D1" w:rsidP="005920D1">
      <w:pPr>
        <w:spacing w:line="360" w:lineRule="auto"/>
        <w:jc w:val="both"/>
        <w:rPr>
          <w:sz w:val="28"/>
          <w:lang w:val="en-US"/>
        </w:rPr>
      </w:pPr>
    </w:p>
    <w:p w14:paraId="6401C877" w14:textId="77777777" w:rsidR="005920D1" w:rsidRPr="00554234" w:rsidRDefault="005920D1" w:rsidP="005920D1">
      <w:pPr>
        <w:jc w:val="center"/>
        <w:rPr>
          <w:lang w:val="en-US"/>
        </w:rPr>
      </w:pPr>
      <w:r>
        <w:rPr>
          <w:noProof/>
          <w:lang w:val="en-US" w:eastAsia="en-US"/>
        </w:rPr>
        <w:drawing>
          <wp:inline distT="0" distB="0" distL="0" distR="0" wp14:anchorId="49CEC2AC" wp14:editId="1C0F1023">
            <wp:extent cx="5391150" cy="2743200"/>
            <wp:effectExtent l="0" t="0" r="0" b="0"/>
            <wp:docPr id="11" name="Chart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A4BA0C-84EE-4C9D-8928-ED9B55777B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37463E2" w14:textId="77777777" w:rsidR="005920D1" w:rsidRDefault="005920D1" w:rsidP="005920D1">
      <w:pPr>
        <w:rPr>
          <w:lang w:val="en-US"/>
        </w:rPr>
      </w:pPr>
    </w:p>
    <w:p w14:paraId="1328A919" w14:textId="77777777" w:rsidR="005920D1" w:rsidRDefault="005920D1" w:rsidP="005920D1">
      <w:pPr>
        <w:spacing w:line="360" w:lineRule="auto"/>
        <w:jc w:val="both"/>
        <w:rPr>
          <w:b/>
          <w:i/>
          <w:lang w:val="en-US"/>
        </w:rPr>
      </w:pPr>
      <w:r>
        <w:rPr>
          <w:b/>
          <w:i/>
          <w:noProof/>
          <w:lang w:val="en-US" w:eastAsia="en-US"/>
        </w:rPr>
        <w:drawing>
          <wp:inline distT="0" distB="0" distL="0" distR="0" wp14:anchorId="08EAC56B" wp14:editId="31A43DEA">
            <wp:extent cx="5391150" cy="723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1150" cy="723900"/>
                    </a:xfrm>
                    <a:prstGeom prst="rect">
                      <a:avLst/>
                    </a:prstGeom>
                    <a:noFill/>
                    <a:ln>
                      <a:noFill/>
                    </a:ln>
                  </pic:spPr>
                </pic:pic>
              </a:graphicData>
            </a:graphic>
          </wp:inline>
        </w:drawing>
      </w:r>
    </w:p>
    <w:p w14:paraId="19EBEF50" w14:textId="77777777" w:rsidR="005920D1" w:rsidRDefault="005920D1" w:rsidP="005920D1">
      <w:pPr>
        <w:spacing w:line="360" w:lineRule="auto"/>
        <w:jc w:val="both"/>
        <w:rPr>
          <w:b/>
          <w:i/>
          <w:lang w:val="en-US"/>
        </w:rPr>
      </w:pPr>
    </w:p>
    <w:p w14:paraId="0B4891A1" w14:textId="77777777" w:rsidR="005920D1" w:rsidRDefault="005920D1" w:rsidP="005920D1">
      <w:pPr>
        <w:spacing w:line="360" w:lineRule="auto"/>
        <w:jc w:val="both"/>
        <w:rPr>
          <w:b/>
          <w:i/>
          <w:lang w:val="en-US"/>
        </w:rPr>
      </w:pPr>
    </w:p>
    <w:p w14:paraId="7A077E7D" w14:textId="77777777" w:rsidR="005920D1" w:rsidRDefault="005920D1" w:rsidP="005920D1">
      <w:pPr>
        <w:spacing w:line="360" w:lineRule="auto"/>
        <w:jc w:val="both"/>
        <w:rPr>
          <w:b/>
          <w:i/>
          <w:lang w:val="en-US"/>
        </w:rPr>
      </w:pPr>
    </w:p>
    <w:p w14:paraId="0C8C79AC" w14:textId="77777777" w:rsidR="005920D1" w:rsidRDefault="005920D1" w:rsidP="005920D1">
      <w:pPr>
        <w:spacing w:line="360" w:lineRule="auto"/>
        <w:jc w:val="both"/>
        <w:rPr>
          <w:b/>
          <w:i/>
          <w:lang w:val="en-US"/>
        </w:rPr>
      </w:pPr>
    </w:p>
    <w:p w14:paraId="0424837F" w14:textId="77777777" w:rsidR="005920D1" w:rsidRDefault="005920D1" w:rsidP="005920D1">
      <w:pPr>
        <w:spacing w:line="360" w:lineRule="auto"/>
        <w:jc w:val="both"/>
        <w:rPr>
          <w:b/>
          <w:i/>
          <w:lang w:val="en-US"/>
        </w:rPr>
      </w:pPr>
    </w:p>
    <w:p w14:paraId="07D5419C" w14:textId="77777777" w:rsidR="005920D1" w:rsidRDefault="005920D1" w:rsidP="005920D1">
      <w:pPr>
        <w:spacing w:line="360" w:lineRule="auto"/>
        <w:jc w:val="both"/>
        <w:rPr>
          <w:b/>
          <w:i/>
          <w:lang w:val="en-US"/>
        </w:rPr>
      </w:pPr>
    </w:p>
    <w:p w14:paraId="1B42A011" w14:textId="77777777" w:rsidR="005920D1" w:rsidRDefault="005920D1" w:rsidP="005920D1">
      <w:pPr>
        <w:spacing w:line="360" w:lineRule="auto"/>
        <w:jc w:val="both"/>
        <w:rPr>
          <w:b/>
          <w:i/>
          <w:lang w:val="en-US"/>
        </w:rPr>
      </w:pPr>
    </w:p>
    <w:p w14:paraId="66036DF6" w14:textId="77777777" w:rsidR="005920D1" w:rsidRDefault="005920D1" w:rsidP="005920D1">
      <w:pPr>
        <w:spacing w:line="360" w:lineRule="auto"/>
        <w:jc w:val="both"/>
        <w:rPr>
          <w:b/>
          <w:i/>
          <w:lang w:val="en-US"/>
        </w:rPr>
      </w:pPr>
    </w:p>
    <w:p w14:paraId="2C9E62A4" w14:textId="77777777" w:rsidR="005920D1" w:rsidRPr="005E1D34" w:rsidRDefault="005920D1" w:rsidP="005920D1">
      <w:pPr>
        <w:spacing w:line="360" w:lineRule="auto"/>
        <w:jc w:val="both"/>
        <w:rPr>
          <w:b/>
          <w:i/>
          <w:lang w:val="en-US"/>
        </w:rPr>
      </w:pPr>
    </w:p>
    <w:p w14:paraId="533AF31C" w14:textId="77777777" w:rsidR="005920D1" w:rsidRDefault="005920D1" w:rsidP="005920D1">
      <w:pPr>
        <w:rPr>
          <w:lang w:val="en-US"/>
        </w:rPr>
      </w:pPr>
    </w:p>
    <w:p w14:paraId="178D6898" w14:textId="77777777" w:rsidR="005920D1" w:rsidRDefault="005920D1" w:rsidP="005920D1">
      <w:pPr>
        <w:rPr>
          <w:lang w:val="en-US"/>
        </w:rPr>
      </w:pPr>
    </w:p>
    <w:p w14:paraId="26F24685" w14:textId="77777777" w:rsidR="005920D1" w:rsidRDefault="005920D1" w:rsidP="005920D1">
      <w:pPr>
        <w:rPr>
          <w:lang w:val="en-US"/>
        </w:rPr>
      </w:pPr>
    </w:p>
    <w:p w14:paraId="378811BE" w14:textId="77777777" w:rsidR="005920D1" w:rsidRPr="00554234" w:rsidRDefault="005920D1" w:rsidP="005920D1">
      <w:pPr>
        <w:rPr>
          <w:lang w:val="en-US"/>
        </w:rPr>
      </w:pPr>
    </w:p>
    <w:p w14:paraId="7A1D6D0D" w14:textId="77777777" w:rsidR="005920D1" w:rsidRPr="00C50C14" w:rsidRDefault="005920D1" w:rsidP="005920D1">
      <w:pPr>
        <w:pStyle w:val="Heading3"/>
        <w:jc w:val="both"/>
        <w:rPr>
          <w:rFonts w:ascii="Times New Roman" w:hAnsi="Times New Roman"/>
          <w:b/>
          <w:sz w:val="28"/>
          <w:szCs w:val="24"/>
          <w:lang w:val="en-US"/>
        </w:rPr>
      </w:pPr>
      <w:bookmarkStart w:id="30" w:name="_Ref8141504"/>
      <w:bookmarkStart w:id="31" w:name="_Toc8434892"/>
      <w:r w:rsidRPr="00C50C14">
        <w:rPr>
          <w:rFonts w:ascii="Times New Roman" w:hAnsi="Times New Roman"/>
          <w:b/>
          <w:sz w:val="28"/>
          <w:szCs w:val="24"/>
          <w:lang w:val="en-US"/>
        </w:rPr>
        <w:t>Economic growth of the Least Countries</w:t>
      </w:r>
      <w:bookmarkEnd w:id="30"/>
      <w:bookmarkEnd w:id="31"/>
      <w:r w:rsidRPr="00C50C14">
        <w:rPr>
          <w:rFonts w:ascii="Times New Roman" w:hAnsi="Times New Roman"/>
          <w:b/>
          <w:sz w:val="28"/>
          <w:szCs w:val="24"/>
          <w:lang w:val="en-US"/>
        </w:rPr>
        <w:t xml:space="preserve"> </w:t>
      </w:r>
    </w:p>
    <w:p w14:paraId="55ED936B" w14:textId="77777777" w:rsidR="005920D1" w:rsidRDefault="005920D1" w:rsidP="005920D1">
      <w:pPr>
        <w:rPr>
          <w:lang w:val="en-US"/>
        </w:rPr>
      </w:pPr>
    </w:p>
    <w:p w14:paraId="163D47EA" w14:textId="77777777" w:rsidR="005920D1" w:rsidRPr="00ED29E5" w:rsidRDefault="005920D1" w:rsidP="005920D1">
      <w:pPr>
        <w:rPr>
          <w:lang w:val="en-US"/>
        </w:rPr>
      </w:pPr>
    </w:p>
    <w:p w14:paraId="47FC9FE5" w14:textId="77777777" w:rsidR="005920D1" w:rsidRDefault="005920D1" w:rsidP="005920D1">
      <w:pPr>
        <w:rPr>
          <w:lang w:val="en-US"/>
        </w:rPr>
      </w:pPr>
    </w:p>
    <w:p w14:paraId="418EDD66" w14:textId="77777777" w:rsidR="005920D1" w:rsidRDefault="005920D1" w:rsidP="005920D1">
      <w:pPr>
        <w:rPr>
          <w:lang w:val="en-US"/>
        </w:rPr>
      </w:pPr>
    </w:p>
    <w:p w14:paraId="20D0574A" w14:textId="77777777" w:rsidR="005920D1" w:rsidRPr="00ED29E5" w:rsidRDefault="005920D1" w:rsidP="005920D1">
      <w:pPr>
        <w:spacing w:line="360" w:lineRule="auto"/>
        <w:ind w:firstLine="720"/>
        <w:jc w:val="both"/>
        <w:rPr>
          <w:sz w:val="28"/>
          <w:lang w:val="en-US"/>
        </w:rPr>
      </w:pPr>
      <w:r w:rsidRPr="00ED29E5">
        <w:rPr>
          <w:sz w:val="28"/>
          <w:lang w:val="en-US"/>
        </w:rPr>
        <w:t>Figure 6 demonstrates the economic growth of some poorest countries which are selecting from different regions of the world.  In this graph, we can see the different proportions of annual economic growth rates compare to previous graphs. High changeability of proportions shows that poorest countries cannot be strong enough for getting some negative shocking.</w:t>
      </w:r>
    </w:p>
    <w:p w14:paraId="73B1856D" w14:textId="77777777" w:rsidR="005920D1" w:rsidRPr="00ED29E5" w:rsidRDefault="005920D1" w:rsidP="005920D1">
      <w:pPr>
        <w:spacing w:line="360" w:lineRule="auto"/>
        <w:jc w:val="both"/>
        <w:rPr>
          <w:sz w:val="28"/>
          <w:lang w:val="en-US"/>
        </w:rPr>
      </w:pPr>
    </w:p>
    <w:p w14:paraId="7C5894BD" w14:textId="77777777" w:rsidR="005920D1" w:rsidRPr="00ED29E5" w:rsidRDefault="005920D1" w:rsidP="005920D1">
      <w:pPr>
        <w:spacing w:line="360" w:lineRule="auto"/>
        <w:ind w:firstLine="720"/>
        <w:jc w:val="both"/>
        <w:rPr>
          <w:sz w:val="28"/>
          <w:lang w:val="en-US"/>
        </w:rPr>
      </w:pPr>
      <w:r w:rsidRPr="00ED29E5">
        <w:rPr>
          <w:sz w:val="28"/>
          <w:lang w:val="en-US"/>
        </w:rPr>
        <w:t xml:space="preserve">Countries, such as Yemen, Libya Sudan show highly negative economic growth and also highly difference in some years. In the graph, the annual economic growth of Libya has decreased faster (-66.7) in 2011, however, has started to increase faster (-124.7) in 2012. These </w:t>
      </w:r>
      <w:r>
        <w:rPr>
          <w:sz w:val="28"/>
          <w:lang w:val="en-US"/>
        </w:rPr>
        <w:t>changeabilities</w:t>
      </w:r>
      <w:r w:rsidRPr="00ED29E5">
        <w:rPr>
          <w:sz w:val="28"/>
          <w:lang w:val="en-US"/>
        </w:rPr>
        <w:t xml:space="preserve"> influence the form of a line to compare to other countries' lines. In 2015, Yemen's economic growth rate shows the lowest percentage (-16.7) compare to other poorest countries. The results of some policies and reforms of Nigeria state, economic growth rate shows a positive and steady proportion but, in recent years, the rate has started to decrease (2.7).  In addition, we can see the measurement of the economic growth rate of Venezuela is (-3.9) in 2014. Venezuela's economic growth rate in 2015, which ranks second after Yemen, is negatively associated with the country's ability to withstand economic shocks.</w:t>
      </w:r>
    </w:p>
    <w:p w14:paraId="6D4F174F" w14:textId="77777777" w:rsidR="005920D1" w:rsidRDefault="005920D1" w:rsidP="005920D1">
      <w:pPr>
        <w:rPr>
          <w:lang w:val="en-US"/>
        </w:rPr>
      </w:pPr>
    </w:p>
    <w:p w14:paraId="0E3E2D42" w14:textId="77777777" w:rsidR="005920D1" w:rsidRPr="009927EA" w:rsidRDefault="005920D1" w:rsidP="005920D1">
      <w:pPr>
        <w:rPr>
          <w:b/>
          <w:lang w:val="en-US"/>
        </w:rPr>
      </w:pPr>
      <w:r>
        <w:rPr>
          <w:noProof/>
          <w:lang w:val="en-US" w:eastAsia="en-US"/>
        </w:rPr>
        <w:drawing>
          <wp:inline distT="0" distB="0" distL="0" distR="0" wp14:anchorId="04E7FBA6" wp14:editId="52ADC746">
            <wp:extent cx="5143500" cy="2743200"/>
            <wp:effectExtent l="0" t="0" r="0" b="0"/>
            <wp:docPr id="14" name="Chart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24AF21-B6B2-49F0-853F-061347706D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25B04B0" w14:textId="77777777" w:rsidR="005920D1" w:rsidRDefault="005920D1" w:rsidP="005920D1">
      <w:pPr>
        <w:rPr>
          <w:lang w:val="en-US"/>
        </w:rPr>
      </w:pPr>
    </w:p>
    <w:p w14:paraId="78CF80E4" w14:textId="77777777" w:rsidR="005920D1" w:rsidRPr="00222418" w:rsidRDefault="005920D1" w:rsidP="005920D1">
      <w:pPr>
        <w:rPr>
          <w:b/>
          <w:i/>
          <w:lang w:val="en-US"/>
        </w:rPr>
      </w:pPr>
      <w:r>
        <w:rPr>
          <w:b/>
          <w:i/>
          <w:noProof/>
          <w:lang w:val="en-US" w:eastAsia="en-US"/>
        </w:rPr>
        <w:drawing>
          <wp:inline distT="0" distB="0" distL="0" distR="0" wp14:anchorId="6FC2BC91" wp14:editId="1CC8F559">
            <wp:extent cx="5200650" cy="7747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00650" cy="774700"/>
                    </a:xfrm>
                    <a:prstGeom prst="rect">
                      <a:avLst/>
                    </a:prstGeom>
                    <a:noFill/>
                    <a:ln>
                      <a:noFill/>
                    </a:ln>
                  </pic:spPr>
                </pic:pic>
              </a:graphicData>
            </a:graphic>
          </wp:inline>
        </w:drawing>
      </w:r>
    </w:p>
    <w:p w14:paraId="4B90AA6F" w14:textId="77777777" w:rsidR="005920D1" w:rsidRDefault="005920D1" w:rsidP="005920D1">
      <w:pPr>
        <w:rPr>
          <w:lang w:val="en-US"/>
        </w:rPr>
      </w:pPr>
    </w:p>
    <w:p w14:paraId="07E73B9F" w14:textId="77777777" w:rsidR="005920D1" w:rsidRDefault="005920D1" w:rsidP="005920D1">
      <w:pPr>
        <w:rPr>
          <w:lang w:val="en-US"/>
        </w:rPr>
      </w:pPr>
    </w:p>
    <w:p w14:paraId="4CE6E754" w14:textId="77777777" w:rsidR="005920D1" w:rsidRPr="005920D1" w:rsidRDefault="005920D1" w:rsidP="005920D1">
      <w:pPr>
        <w:rPr>
          <w:b/>
          <w:lang w:val="en-US"/>
        </w:rPr>
      </w:pPr>
    </w:p>
    <w:p w14:paraId="1698A634" w14:textId="77777777" w:rsidR="005920D1" w:rsidRDefault="005920D1" w:rsidP="005920D1">
      <w:pPr>
        <w:spacing w:after="360" w:line="360" w:lineRule="auto"/>
        <w:jc w:val="both"/>
        <w:rPr>
          <w:sz w:val="28"/>
        </w:rPr>
      </w:pPr>
    </w:p>
    <w:p w14:paraId="792CD9A0" w14:textId="77777777" w:rsidR="005920D1" w:rsidRDefault="005920D1" w:rsidP="005920D1">
      <w:pPr>
        <w:spacing w:after="360" w:line="360" w:lineRule="auto"/>
        <w:jc w:val="both"/>
        <w:rPr>
          <w:b/>
          <w:sz w:val="28"/>
        </w:rPr>
      </w:pPr>
    </w:p>
    <w:p w14:paraId="5BC9E41F" w14:textId="77777777" w:rsidR="002651AF" w:rsidRDefault="002651AF" w:rsidP="005920D1">
      <w:pPr>
        <w:spacing w:after="360" w:line="360" w:lineRule="auto"/>
        <w:jc w:val="both"/>
        <w:rPr>
          <w:b/>
          <w:sz w:val="28"/>
        </w:rPr>
      </w:pPr>
    </w:p>
    <w:p w14:paraId="6B416B3A" w14:textId="77777777" w:rsidR="002651AF" w:rsidRDefault="002651AF" w:rsidP="005920D1">
      <w:pPr>
        <w:spacing w:after="360" w:line="360" w:lineRule="auto"/>
        <w:jc w:val="both"/>
        <w:rPr>
          <w:b/>
          <w:sz w:val="28"/>
        </w:rPr>
      </w:pPr>
    </w:p>
    <w:p w14:paraId="47BB7479" w14:textId="77777777" w:rsidR="002651AF" w:rsidRDefault="002651AF" w:rsidP="005920D1">
      <w:pPr>
        <w:spacing w:after="360" w:line="360" w:lineRule="auto"/>
        <w:jc w:val="both"/>
        <w:rPr>
          <w:b/>
          <w:sz w:val="28"/>
        </w:rPr>
      </w:pPr>
    </w:p>
    <w:p w14:paraId="7D702F14" w14:textId="77777777" w:rsidR="002651AF" w:rsidRDefault="002651AF" w:rsidP="005920D1">
      <w:pPr>
        <w:spacing w:after="360" w:line="360" w:lineRule="auto"/>
        <w:jc w:val="both"/>
        <w:rPr>
          <w:b/>
          <w:sz w:val="28"/>
        </w:rPr>
      </w:pPr>
    </w:p>
    <w:p w14:paraId="53CB0C66" w14:textId="77777777" w:rsidR="002651AF" w:rsidRDefault="002651AF" w:rsidP="005920D1">
      <w:pPr>
        <w:spacing w:after="360" w:line="360" w:lineRule="auto"/>
        <w:jc w:val="both"/>
        <w:rPr>
          <w:b/>
          <w:sz w:val="28"/>
        </w:rPr>
      </w:pPr>
    </w:p>
    <w:p w14:paraId="482923F3" w14:textId="77777777" w:rsidR="002651AF" w:rsidRPr="00FC4CB8" w:rsidRDefault="002651AF" w:rsidP="005920D1">
      <w:pPr>
        <w:spacing w:after="360" w:line="360" w:lineRule="auto"/>
        <w:jc w:val="both"/>
        <w:rPr>
          <w:b/>
          <w:sz w:val="28"/>
        </w:rPr>
      </w:pPr>
    </w:p>
    <w:p w14:paraId="51232415" w14:textId="77777777" w:rsidR="005920D1" w:rsidRDefault="005920D1" w:rsidP="005920D1">
      <w:pPr>
        <w:rPr>
          <w:lang w:val="en-US"/>
        </w:rPr>
      </w:pPr>
    </w:p>
    <w:p w14:paraId="2302565F" w14:textId="4448E616" w:rsidR="002651AF" w:rsidRPr="00C50C14" w:rsidRDefault="002651AF" w:rsidP="00715AD6">
      <w:pPr>
        <w:pStyle w:val="Heading2"/>
        <w:spacing w:line="360" w:lineRule="auto"/>
        <w:jc w:val="both"/>
        <w:rPr>
          <w:rFonts w:ascii="Times New Roman" w:hAnsi="Times New Roman" w:cs="Times New Roman"/>
        </w:rPr>
      </w:pPr>
      <w:bookmarkStart w:id="32" w:name="_Ref8434557"/>
      <w:bookmarkStart w:id="33" w:name="_Toc8434893"/>
      <w:bookmarkEnd w:id="25"/>
      <w:r w:rsidRPr="00C50C14">
        <w:rPr>
          <w:rFonts w:ascii="Times New Roman" w:hAnsi="Times New Roman" w:cs="Times New Roman"/>
        </w:rPr>
        <w:t>Analysis of the impact of Inequality of countries by Gini coefficient</w:t>
      </w:r>
      <w:bookmarkEnd w:id="32"/>
      <w:bookmarkEnd w:id="33"/>
    </w:p>
    <w:p w14:paraId="4D6DD181" w14:textId="77777777" w:rsidR="008E71AD" w:rsidRPr="00C50C14" w:rsidRDefault="008E71AD" w:rsidP="008E71AD">
      <w:pPr>
        <w:rPr>
          <w:i/>
        </w:rPr>
      </w:pPr>
    </w:p>
    <w:p w14:paraId="090B327C" w14:textId="77777777" w:rsidR="008E71AD" w:rsidRPr="00C50C14" w:rsidRDefault="008E71AD" w:rsidP="008E71AD">
      <w:pPr>
        <w:rPr>
          <w:i/>
        </w:rPr>
      </w:pPr>
    </w:p>
    <w:p w14:paraId="45EAEFF7" w14:textId="11932BC8" w:rsidR="008E71AD" w:rsidRDefault="008E71AD" w:rsidP="00E27238">
      <w:pPr>
        <w:spacing w:line="360" w:lineRule="auto"/>
        <w:ind w:firstLine="360"/>
        <w:jc w:val="both"/>
        <w:rPr>
          <w:sz w:val="28"/>
        </w:rPr>
      </w:pPr>
      <w:r w:rsidRPr="008E71AD">
        <w:rPr>
          <w:sz w:val="28"/>
        </w:rPr>
        <w:t>A statistical measure of distribution developed by the Italian statistician Corrado Gini in 1912 is the Gini index or Gini coefficient. It is often used as a measure of economic inequality, measuring the distribution of income or, less commonly, the distribution of wealth among a population. If the coefficient ranges from 0 (or 0 %) to 1 (or 100 %), and shows 0, this representing perfect equality, however, shows 1, this means that perfect inequality.</w:t>
      </w:r>
    </w:p>
    <w:p w14:paraId="0BD535CE" w14:textId="77777777" w:rsidR="00E27238" w:rsidRDefault="00E27238" w:rsidP="008E71AD">
      <w:pPr>
        <w:spacing w:line="360" w:lineRule="auto"/>
        <w:jc w:val="both"/>
        <w:rPr>
          <w:sz w:val="28"/>
        </w:rPr>
      </w:pPr>
    </w:p>
    <w:p w14:paraId="27A434F4" w14:textId="77777777" w:rsidR="00E27238" w:rsidRDefault="00E27238" w:rsidP="008E71AD">
      <w:pPr>
        <w:spacing w:line="360" w:lineRule="auto"/>
        <w:jc w:val="both"/>
        <w:rPr>
          <w:sz w:val="28"/>
        </w:rPr>
      </w:pPr>
    </w:p>
    <w:p w14:paraId="734EC59F" w14:textId="77777777" w:rsidR="00E27238" w:rsidRPr="00E27238" w:rsidRDefault="00E27238" w:rsidP="00E27238">
      <w:pPr>
        <w:pStyle w:val="ListParagraph"/>
        <w:numPr>
          <w:ilvl w:val="0"/>
          <w:numId w:val="20"/>
        </w:numPr>
        <w:spacing w:line="360" w:lineRule="auto"/>
        <w:jc w:val="both"/>
        <w:rPr>
          <w:sz w:val="28"/>
        </w:rPr>
      </w:pPr>
      <w:r w:rsidRPr="00E27238">
        <w:rPr>
          <w:sz w:val="28"/>
        </w:rPr>
        <w:t>The Gini index is a simple measure of a population's income distribution across income percentiles.</w:t>
      </w:r>
    </w:p>
    <w:p w14:paraId="300061BE" w14:textId="77777777" w:rsidR="00E27238" w:rsidRPr="00E27238" w:rsidRDefault="00E27238" w:rsidP="00E27238">
      <w:pPr>
        <w:pStyle w:val="ListParagraph"/>
        <w:numPr>
          <w:ilvl w:val="0"/>
          <w:numId w:val="20"/>
        </w:numPr>
        <w:spacing w:line="360" w:lineRule="auto"/>
        <w:jc w:val="both"/>
        <w:rPr>
          <w:sz w:val="28"/>
        </w:rPr>
      </w:pPr>
      <w:r w:rsidRPr="00E27238">
        <w:rPr>
          <w:sz w:val="28"/>
        </w:rPr>
        <w:t>A higher Gini index shows greater inequality, with high-income people receiving much larger percentages of the population's total income.</w:t>
      </w:r>
    </w:p>
    <w:p w14:paraId="1EA1F090" w14:textId="45967491" w:rsidR="00E27238" w:rsidRPr="00E27238" w:rsidRDefault="00E27238" w:rsidP="00E27238">
      <w:pPr>
        <w:pStyle w:val="ListParagraph"/>
        <w:numPr>
          <w:ilvl w:val="0"/>
          <w:numId w:val="20"/>
        </w:numPr>
        <w:spacing w:line="360" w:lineRule="auto"/>
        <w:jc w:val="both"/>
        <w:rPr>
          <w:sz w:val="28"/>
        </w:rPr>
      </w:pPr>
      <w:r w:rsidRPr="00E27238">
        <w:rPr>
          <w:sz w:val="28"/>
        </w:rPr>
        <w:t xml:space="preserve">Global inequality as measured by the Gini index increased during the nineteenth and twentieth centuries, but declined in more recent years. </w:t>
      </w:r>
    </w:p>
    <w:p w14:paraId="0D7DE034" w14:textId="52D3B3B4" w:rsidR="00E27238" w:rsidRPr="00E27238" w:rsidRDefault="00E27238" w:rsidP="00E27238">
      <w:pPr>
        <w:pStyle w:val="ListParagraph"/>
        <w:numPr>
          <w:ilvl w:val="0"/>
          <w:numId w:val="20"/>
        </w:numPr>
        <w:spacing w:line="360" w:lineRule="auto"/>
        <w:jc w:val="both"/>
        <w:rPr>
          <w:sz w:val="28"/>
        </w:rPr>
      </w:pPr>
      <w:r w:rsidRPr="00E27238">
        <w:rPr>
          <w:sz w:val="28"/>
        </w:rPr>
        <w:t>Due to data and other limitations, the Gini index may overestimate income inequality and may obscure important income distribution information.</w:t>
      </w:r>
    </w:p>
    <w:p w14:paraId="560357CB" w14:textId="77777777" w:rsidR="008E71AD" w:rsidRDefault="008E71AD" w:rsidP="008E71AD"/>
    <w:p w14:paraId="2EBA334A" w14:textId="77777777" w:rsidR="009D6F36" w:rsidRDefault="009D6F36" w:rsidP="008E71AD"/>
    <w:p w14:paraId="66892B13" w14:textId="77777777" w:rsidR="00371ABC" w:rsidRDefault="00371ABC" w:rsidP="008E71AD"/>
    <w:p w14:paraId="3746623A" w14:textId="77777777" w:rsidR="00371ABC" w:rsidRDefault="00371ABC" w:rsidP="008E71AD"/>
    <w:p w14:paraId="22331B3F" w14:textId="77777777" w:rsidR="00371ABC" w:rsidRDefault="00371ABC" w:rsidP="008E71AD"/>
    <w:p w14:paraId="1DA90100" w14:textId="77777777" w:rsidR="00371ABC" w:rsidRDefault="00371ABC" w:rsidP="008E71AD"/>
    <w:p w14:paraId="779830EB" w14:textId="77777777" w:rsidR="00371ABC" w:rsidRDefault="00371ABC" w:rsidP="008E71AD"/>
    <w:p w14:paraId="3282A965" w14:textId="77777777" w:rsidR="00371ABC" w:rsidRDefault="00371ABC" w:rsidP="008E71AD"/>
    <w:p w14:paraId="59A965A6" w14:textId="77777777" w:rsidR="00371ABC" w:rsidRDefault="00371ABC" w:rsidP="008E71AD"/>
    <w:p w14:paraId="594BF32B" w14:textId="77777777" w:rsidR="008E71AD" w:rsidRPr="008E71AD" w:rsidRDefault="008E71AD" w:rsidP="008E71AD"/>
    <w:p w14:paraId="69C4C613" w14:textId="6545DC84" w:rsidR="009D6F36" w:rsidRPr="00C50C14" w:rsidRDefault="009D6F36" w:rsidP="002651AF">
      <w:pPr>
        <w:pStyle w:val="Heading3"/>
        <w:rPr>
          <w:lang w:val="en-US"/>
        </w:rPr>
      </w:pPr>
      <w:bookmarkStart w:id="34" w:name="_Toc8434894"/>
      <w:r w:rsidRPr="00C50C14">
        <w:rPr>
          <w:rFonts w:ascii="Times New Roman" w:hAnsi="Times New Roman" w:cs="Times New Roman"/>
          <w:b/>
          <w:sz w:val="28"/>
          <w:lang w:val="en-US"/>
        </w:rPr>
        <w:t>Developed countries</w:t>
      </w:r>
      <w:bookmarkEnd w:id="34"/>
    </w:p>
    <w:p w14:paraId="12B36E94" w14:textId="77777777" w:rsidR="009D6F36" w:rsidRDefault="009D6F36" w:rsidP="009D6F36">
      <w:pPr>
        <w:pStyle w:val="Heading3"/>
        <w:numPr>
          <w:ilvl w:val="0"/>
          <w:numId w:val="0"/>
        </w:numPr>
        <w:jc w:val="both"/>
        <w:rPr>
          <w:rFonts w:ascii="Times New Roman" w:hAnsi="Times New Roman"/>
          <w:b/>
          <w:i w:val="0"/>
          <w:sz w:val="28"/>
          <w:szCs w:val="24"/>
          <w:lang w:val="en-US"/>
        </w:rPr>
      </w:pPr>
    </w:p>
    <w:p w14:paraId="31C773BC" w14:textId="77777777" w:rsidR="009D6F36" w:rsidRDefault="009D6F36" w:rsidP="009D6F36">
      <w:pPr>
        <w:rPr>
          <w:lang w:val="en-US"/>
        </w:rPr>
      </w:pPr>
    </w:p>
    <w:p w14:paraId="4BAFB4DC" w14:textId="77777777" w:rsidR="009D6F36" w:rsidRPr="009D6F36" w:rsidRDefault="009D6F36" w:rsidP="009D6F36">
      <w:pPr>
        <w:rPr>
          <w:lang w:val="en-US"/>
        </w:rPr>
      </w:pPr>
    </w:p>
    <w:p w14:paraId="08A5E3D5" w14:textId="77777777" w:rsidR="009D6F36" w:rsidRPr="009D6F36" w:rsidRDefault="009D6F36" w:rsidP="00466E4A">
      <w:pPr>
        <w:spacing w:line="360" w:lineRule="auto"/>
        <w:ind w:firstLine="720"/>
        <w:jc w:val="both"/>
        <w:rPr>
          <w:sz w:val="28"/>
          <w:lang w:val="en-US"/>
        </w:rPr>
      </w:pPr>
      <w:r w:rsidRPr="009D6F36">
        <w:rPr>
          <w:sz w:val="28"/>
          <w:lang w:val="en-US"/>
        </w:rPr>
        <w:t>In figure 7, we can see that the Gini coefficient has shown different income level and wealth distribution between countries' populations. In recent years, however, income inequality has also started to increase significantly in addition to economic growth. This income inequality demonstrates false income distribution between their people. As seen from the graph, the Gini coefficient shows a slow increase and decrease from 2006 to 2015. Nevertheless, actually, the coefficients are increasing year by year regularly and slowly.</w:t>
      </w:r>
    </w:p>
    <w:p w14:paraId="5F222178" w14:textId="5510788B" w:rsidR="009D6F36" w:rsidRPr="009D6F36" w:rsidRDefault="00466E4A" w:rsidP="009D6F36">
      <w:pPr>
        <w:spacing w:line="360" w:lineRule="auto"/>
        <w:jc w:val="both"/>
        <w:rPr>
          <w:sz w:val="28"/>
          <w:lang w:val="en-US"/>
        </w:rPr>
      </w:pPr>
      <w:r>
        <w:rPr>
          <w:sz w:val="28"/>
          <w:lang w:val="en-US"/>
        </w:rPr>
        <w:tab/>
      </w:r>
    </w:p>
    <w:p w14:paraId="3B6AD02F" w14:textId="77777777" w:rsidR="009D6F36" w:rsidRDefault="009D6F36" w:rsidP="00466E4A">
      <w:pPr>
        <w:spacing w:line="360" w:lineRule="auto"/>
        <w:ind w:firstLine="720"/>
        <w:jc w:val="both"/>
        <w:rPr>
          <w:sz w:val="28"/>
          <w:lang w:val="en-US"/>
        </w:rPr>
      </w:pPr>
      <w:r w:rsidRPr="009D6F36">
        <w:rPr>
          <w:sz w:val="28"/>
          <w:lang w:val="en-US"/>
        </w:rPr>
        <w:t>In the graph, German shows very slow changeabilities between other countries and income inequality increased from 0.308 in 2008 to 0.318 in 2015. Figure 7 also indicates that the distribution of income and wealth inequality between population is inferior in Norway and the Gini coefficient shows a low degree from 2006 (0.26) to 2006 (0.27). At the same time, the United States’ Gini coefficient shows that the majority of to</w:t>
      </w:r>
      <w:r>
        <w:rPr>
          <w:sz w:val="28"/>
          <w:lang w:val="en-US"/>
        </w:rPr>
        <w:t>tal income and wealth are owned</w:t>
      </w:r>
      <w:r w:rsidRPr="009D6F36">
        <w:rPr>
          <w:sz w:val="28"/>
          <w:lang w:val="en-US"/>
        </w:rPr>
        <w:t xml:space="preserve"> from 0.4% of the population.</w:t>
      </w:r>
    </w:p>
    <w:p w14:paraId="0BC181E1" w14:textId="77777777" w:rsidR="009D6F36" w:rsidRPr="009D6F36" w:rsidRDefault="009D6F36" w:rsidP="009D6F36">
      <w:pPr>
        <w:spacing w:line="360" w:lineRule="auto"/>
        <w:jc w:val="both"/>
        <w:rPr>
          <w:sz w:val="28"/>
          <w:lang w:val="en-US"/>
        </w:rPr>
      </w:pPr>
    </w:p>
    <w:p w14:paraId="19A0504F" w14:textId="77777777" w:rsidR="009D6F36" w:rsidRDefault="009D6F36" w:rsidP="009D6F36">
      <w:pPr>
        <w:rPr>
          <w:lang w:val="en-US"/>
        </w:rPr>
      </w:pPr>
    </w:p>
    <w:p w14:paraId="3635A9B0" w14:textId="77777777" w:rsidR="009D6F36" w:rsidRDefault="009D6F36" w:rsidP="009D6F36">
      <w:pPr>
        <w:rPr>
          <w:lang w:val="en-US"/>
        </w:rPr>
      </w:pPr>
    </w:p>
    <w:p w14:paraId="43BB8740" w14:textId="77777777" w:rsidR="009D6F36" w:rsidRDefault="009D6F36" w:rsidP="009D6F36">
      <w:pPr>
        <w:jc w:val="center"/>
        <w:rPr>
          <w:lang w:val="en-US"/>
        </w:rPr>
      </w:pPr>
      <w:r>
        <w:rPr>
          <w:noProof/>
          <w:lang w:val="en-US" w:eastAsia="en-US"/>
        </w:rPr>
        <w:drawing>
          <wp:inline distT="0" distB="0" distL="0" distR="0" wp14:anchorId="5416892E" wp14:editId="40B349B8">
            <wp:extent cx="5629275" cy="30384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C407294" w14:textId="77777777" w:rsidR="009D6F36" w:rsidRDefault="009D6F36" w:rsidP="009D6F36">
      <w:pPr>
        <w:jc w:val="center"/>
        <w:rPr>
          <w:lang w:val="en-US"/>
        </w:rPr>
      </w:pPr>
    </w:p>
    <w:p w14:paraId="1F784074" w14:textId="77777777" w:rsidR="009D6F36" w:rsidRDefault="009D6F36" w:rsidP="009D6F36">
      <w:pPr>
        <w:spacing w:line="360" w:lineRule="auto"/>
        <w:jc w:val="both"/>
        <w:rPr>
          <w:lang w:val="en-US"/>
        </w:rPr>
      </w:pPr>
      <w:r>
        <w:rPr>
          <w:b/>
          <w:noProof/>
          <w:sz w:val="28"/>
          <w:lang w:val="en-US" w:eastAsia="en-US"/>
        </w:rPr>
        <w:drawing>
          <wp:inline distT="0" distB="0" distL="0" distR="0" wp14:anchorId="3F418AEE" wp14:editId="507BA074">
            <wp:extent cx="5686425" cy="571500"/>
            <wp:effectExtent l="0" t="0" r="9525" b="0"/>
            <wp:docPr id="16" name="Picture 16" descr="C:\Users\li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der\Desktop\Captur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86425" cy="571500"/>
                    </a:xfrm>
                    <a:prstGeom prst="rect">
                      <a:avLst/>
                    </a:prstGeom>
                    <a:noFill/>
                    <a:ln>
                      <a:noFill/>
                    </a:ln>
                  </pic:spPr>
                </pic:pic>
              </a:graphicData>
            </a:graphic>
          </wp:inline>
        </w:drawing>
      </w:r>
    </w:p>
    <w:p w14:paraId="7F7C069C" w14:textId="77777777" w:rsidR="009D6F36" w:rsidRDefault="009D6F36" w:rsidP="009D6F36">
      <w:pPr>
        <w:spacing w:after="360" w:line="360" w:lineRule="auto"/>
        <w:jc w:val="both"/>
        <w:rPr>
          <w:sz w:val="28"/>
        </w:rPr>
      </w:pPr>
    </w:p>
    <w:p w14:paraId="3CEFBEDD" w14:textId="2D8E6D14" w:rsidR="009D6F36" w:rsidRPr="00C50C14" w:rsidRDefault="003767F7" w:rsidP="002651AF">
      <w:pPr>
        <w:pStyle w:val="Heading3"/>
        <w:rPr>
          <w:rFonts w:ascii="Times New Roman" w:hAnsi="Times New Roman" w:cs="Times New Roman"/>
          <w:b/>
          <w:sz w:val="28"/>
          <w:szCs w:val="28"/>
          <w:lang w:val="en-US"/>
        </w:rPr>
      </w:pPr>
      <w:bookmarkStart w:id="35" w:name="_Toc8434895"/>
      <w:r w:rsidRPr="00C50C14">
        <w:rPr>
          <w:rFonts w:ascii="Times New Roman" w:hAnsi="Times New Roman" w:cs="Times New Roman"/>
          <w:b/>
          <w:sz w:val="28"/>
          <w:szCs w:val="28"/>
          <w:lang w:val="en-US"/>
        </w:rPr>
        <w:t>Emerging countries</w:t>
      </w:r>
      <w:bookmarkEnd w:id="35"/>
    </w:p>
    <w:p w14:paraId="199C3BE0" w14:textId="77777777" w:rsidR="00466E4A" w:rsidRDefault="00466E4A" w:rsidP="00466E4A">
      <w:pPr>
        <w:rPr>
          <w:lang w:val="en-US"/>
        </w:rPr>
      </w:pPr>
    </w:p>
    <w:p w14:paraId="27A6E9A4" w14:textId="77777777" w:rsidR="007C383A" w:rsidRDefault="007C383A" w:rsidP="00466E4A">
      <w:pPr>
        <w:rPr>
          <w:lang w:val="en-US"/>
        </w:rPr>
      </w:pPr>
    </w:p>
    <w:p w14:paraId="495E0501" w14:textId="77777777" w:rsidR="007C383A" w:rsidRPr="007C383A" w:rsidRDefault="007C383A" w:rsidP="007C383A">
      <w:pPr>
        <w:spacing w:line="360" w:lineRule="auto"/>
        <w:jc w:val="both"/>
        <w:rPr>
          <w:sz w:val="28"/>
          <w:lang w:val="en-US"/>
        </w:rPr>
      </w:pPr>
    </w:p>
    <w:p w14:paraId="0B0E690D" w14:textId="77777777" w:rsidR="007C383A" w:rsidRPr="007C383A" w:rsidRDefault="007C383A" w:rsidP="007C383A">
      <w:pPr>
        <w:spacing w:line="360" w:lineRule="auto"/>
        <w:jc w:val="both"/>
        <w:rPr>
          <w:sz w:val="28"/>
          <w:lang w:val="en-US"/>
        </w:rPr>
      </w:pPr>
      <w:r w:rsidRPr="007C383A">
        <w:rPr>
          <w:sz w:val="28"/>
          <w:lang w:val="en-US"/>
        </w:rPr>
        <w:t>Figure 8 illustrates the income and wealth inequality degree and distribution levels between emerging countries' population. These unequal distribution levels show that countries start to going being dependence from other countries and getting a high amount of loans.</w:t>
      </w:r>
    </w:p>
    <w:p w14:paraId="36F2DBB1" w14:textId="42E0CBF3" w:rsidR="007C383A" w:rsidRPr="007C383A" w:rsidRDefault="007C383A" w:rsidP="007C383A">
      <w:pPr>
        <w:spacing w:line="360" w:lineRule="auto"/>
        <w:jc w:val="both"/>
        <w:rPr>
          <w:sz w:val="28"/>
          <w:lang w:val="en-US"/>
        </w:rPr>
      </w:pPr>
      <w:r w:rsidRPr="007C383A">
        <w:rPr>
          <w:sz w:val="28"/>
          <w:lang w:val="en-US"/>
        </w:rPr>
        <w:t>According to Figure 8, inequalities in developing countries are slowly and slowly decreasing each year. Currently, governments are undergoing some regulatory reforms in connection with the ongoing trend of inequality. In the last decade, economic growth in emerging economies has increased dramatically. As can be seen from the table, income is distributed equally as the state's major reform efforts in countries such as Estonia, Latvia and Poland, and this leads to a decline in the Gini index.</w:t>
      </w:r>
    </w:p>
    <w:p w14:paraId="19B1CCF4" w14:textId="77777777" w:rsidR="00466E4A" w:rsidRPr="00466E4A" w:rsidRDefault="00466E4A" w:rsidP="00466E4A">
      <w:pPr>
        <w:rPr>
          <w:lang w:val="en-US"/>
        </w:rPr>
      </w:pPr>
    </w:p>
    <w:p w14:paraId="39ECD1EC" w14:textId="77777777" w:rsidR="00912B9E" w:rsidRDefault="00912B9E" w:rsidP="00912B9E">
      <w:pPr>
        <w:rPr>
          <w:lang w:val="en-US"/>
        </w:rPr>
      </w:pPr>
    </w:p>
    <w:p w14:paraId="4D3E1A4F" w14:textId="7C99719F" w:rsidR="00912B9E" w:rsidRDefault="00912B9E" w:rsidP="00912B9E">
      <w:pPr>
        <w:jc w:val="center"/>
        <w:rPr>
          <w:lang w:val="en-US"/>
        </w:rPr>
      </w:pPr>
      <w:r>
        <w:rPr>
          <w:noProof/>
          <w:lang w:val="en-US" w:eastAsia="en-US"/>
        </w:rPr>
        <w:drawing>
          <wp:inline distT="0" distB="0" distL="0" distR="0" wp14:anchorId="25A8EE27" wp14:editId="249F9823">
            <wp:extent cx="5857875" cy="2743200"/>
            <wp:effectExtent l="0" t="0" r="9525"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1383670" w14:textId="77777777" w:rsidR="00912B9E" w:rsidRDefault="00912B9E" w:rsidP="00912B9E">
      <w:pPr>
        <w:jc w:val="center"/>
        <w:rPr>
          <w:lang w:val="en-US"/>
        </w:rPr>
      </w:pPr>
    </w:p>
    <w:p w14:paraId="666132F5" w14:textId="4738C7FF" w:rsidR="00912B9E" w:rsidRDefault="00466E4A" w:rsidP="00466E4A">
      <w:pPr>
        <w:jc w:val="center"/>
        <w:rPr>
          <w:lang w:val="en-US"/>
        </w:rPr>
      </w:pPr>
      <w:r>
        <w:rPr>
          <w:rFonts w:ascii="Times New Roman CYR" w:hAnsi="Times New Roman CYR" w:cs="Times New Roman CYR"/>
          <w:b/>
          <w:bCs/>
          <w:noProof/>
          <w:sz w:val="28"/>
          <w:szCs w:val="28"/>
          <w:lang w:val="en-US" w:eastAsia="en-US"/>
        </w:rPr>
        <w:drawing>
          <wp:inline distT="0" distB="0" distL="0" distR="0" wp14:anchorId="063B9F93" wp14:editId="041C280A">
            <wp:extent cx="4991100" cy="685800"/>
            <wp:effectExtent l="0" t="0" r="0" b="0"/>
            <wp:docPr id="18" name="Picture 18" descr="C:\Users\li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der\Desktop\Capture.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91100" cy="685800"/>
                    </a:xfrm>
                    <a:prstGeom prst="rect">
                      <a:avLst/>
                    </a:prstGeom>
                    <a:noFill/>
                    <a:ln>
                      <a:noFill/>
                    </a:ln>
                  </pic:spPr>
                </pic:pic>
              </a:graphicData>
            </a:graphic>
          </wp:inline>
        </w:drawing>
      </w:r>
    </w:p>
    <w:p w14:paraId="7D69E9E6" w14:textId="77777777" w:rsidR="00023B27" w:rsidRPr="00912B9E" w:rsidRDefault="00023B27" w:rsidP="00466E4A">
      <w:pPr>
        <w:jc w:val="center"/>
        <w:rPr>
          <w:lang w:val="en-US"/>
        </w:rPr>
      </w:pPr>
    </w:p>
    <w:p w14:paraId="06B9DF6A" w14:textId="756A6E53" w:rsidR="00715AD6" w:rsidRPr="00C50C14" w:rsidRDefault="00912B9E" w:rsidP="002651AF">
      <w:pPr>
        <w:pStyle w:val="Heading3"/>
        <w:rPr>
          <w:rFonts w:ascii="Times New Roman" w:hAnsi="Times New Roman" w:cs="Times New Roman"/>
          <w:b/>
          <w:sz w:val="28"/>
          <w:szCs w:val="28"/>
          <w:lang w:val="en-US"/>
        </w:rPr>
      </w:pPr>
      <w:bookmarkStart w:id="36" w:name="_Toc8434896"/>
      <w:r w:rsidRPr="00C50C14">
        <w:rPr>
          <w:rFonts w:ascii="Times New Roman" w:hAnsi="Times New Roman" w:cs="Times New Roman"/>
          <w:b/>
          <w:sz w:val="28"/>
          <w:szCs w:val="28"/>
          <w:lang w:val="en-US"/>
        </w:rPr>
        <w:t>Least countries</w:t>
      </w:r>
      <w:bookmarkEnd w:id="36"/>
    </w:p>
    <w:p w14:paraId="0C187170" w14:textId="77777777" w:rsidR="00753C74" w:rsidRDefault="00753C74" w:rsidP="005920D1">
      <w:pPr>
        <w:spacing w:after="360" w:line="360" w:lineRule="auto"/>
        <w:jc w:val="both"/>
        <w:rPr>
          <w:sz w:val="28"/>
        </w:rPr>
      </w:pPr>
    </w:p>
    <w:p w14:paraId="4308BE8D" w14:textId="77777777" w:rsidR="00753C74" w:rsidRDefault="00753C74" w:rsidP="00753C74">
      <w:pPr>
        <w:spacing w:after="360" w:line="360" w:lineRule="auto"/>
        <w:ind w:firstLine="720"/>
        <w:jc w:val="both"/>
        <w:rPr>
          <w:sz w:val="28"/>
        </w:rPr>
      </w:pPr>
      <w:r w:rsidRPr="00753C74">
        <w:rPr>
          <w:sz w:val="28"/>
        </w:rPr>
        <w:t xml:space="preserve">İn this Figure, we analyze that income distribution of least countries and their Gini coefficient which was showing a connection between the cumulative share of income and cumulative share of the population. Gini coefficient showed a high proportion in these countries because of the decreasing of GDP growth. In the graph, we can see that Venezuela's Gini coefficient was increasing year by year sharply. This increase showed negative effects on a country's distribution of income and wealth. The difference of Gini coefficient between 2006 and 2015 was highly negative and had reported from (0.46) to (0.65). </w:t>
      </w:r>
    </w:p>
    <w:p w14:paraId="3CC9D874" w14:textId="41830AA7" w:rsidR="00753C74" w:rsidRDefault="00753C74" w:rsidP="00753C74">
      <w:pPr>
        <w:spacing w:after="360" w:line="360" w:lineRule="auto"/>
        <w:ind w:firstLine="720"/>
        <w:jc w:val="both"/>
        <w:rPr>
          <w:sz w:val="28"/>
        </w:rPr>
      </w:pPr>
      <w:r w:rsidRPr="00753C74">
        <w:rPr>
          <w:sz w:val="28"/>
        </w:rPr>
        <w:t>Otherwise, the line chart of the Gini coefficient of Botswana started decreasing and showed a positive effect on the distribution of income and equality. Inequality decreased from 0.62 in 2006 to 0.53 in 2016. Furthermore, in the graph, we can see that minimum income inequality in Iraq, the average Gini coefficient (0.295). In addition, the low level of the rate of GDP growth and high population cause the creation of inequality between people and increase the Gini coefficient. Also, as we know, when the Gini coefficient starts to approach to 1, this means that perfect inequality.</w:t>
      </w:r>
    </w:p>
    <w:p w14:paraId="633F21ED" w14:textId="4A62FC68" w:rsidR="00023B27" w:rsidRDefault="00023B27" w:rsidP="00023B27">
      <w:pPr>
        <w:spacing w:after="360" w:line="360" w:lineRule="auto"/>
        <w:jc w:val="center"/>
        <w:rPr>
          <w:sz w:val="28"/>
        </w:rPr>
      </w:pPr>
      <w:r>
        <w:rPr>
          <w:noProof/>
          <w:lang w:val="en-US" w:eastAsia="en-US"/>
        </w:rPr>
        <w:drawing>
          <wp:inline distT="0" distB="0" distL="0" distR="0" wp14:anchorId="527A1133" wp14:editId="6CB49EFD">
            <wp:extent cx="4572000" cy="1914525"/>
            <wp:effectExtent l="0" t="0" r="1905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B1088BC" w14:textId="1C5E2157" w:rsidR="009C2F29" w:rsidRDefault="00C46268" w:rsidP="009C2F29">
      <w:pPr>
        <w:autoSpaceDE w:val="0"/>
        <w:autoSpaceDN w:val="0"/>
        <w:adjustRightInd w:val="0"/>
        <w:spacing w:line="360" w:lineRule="auto"/>
        <w:jc w:val="center"/>
        <w:rPr>
          <w:rFonts w:ascii="Times New Roman CYR" w:hAnsi="Times New Roman CYR" w:cs="Times New Roman CYR"/>
          <w:b/>
          <w:bCs/>
          <w:sz w:val="28"/>
          <w:szCs w:val="28"/>
          <w:lang w:val="en-US"/>
        </w:rPr>
      </w:pPr>
      <w:r>
        <w:rPr>
          <w:rFonts w:ascii="Times New Roman CYR" w:hAnsi="Times New Roman CYR" w:cs="Times New Roman CYR"/>
          <w:b/>
          <w:bCs/>
          <w:noProof/>
          <w:sz w:val="28"/>
          <w:szCs w:val="28"/>
          <w:lang w:val="en-US" w:eastAsia="en-US"/>
        </w:rPr>
        <w:drawing>
          <wp:inline distT="0" distB="0" distL="0" distR="0" wp14:anchorId="7908FB0C" wp14:editId="350A4584">
            <wp:extent cx="4885518" cy="569655"/>
            <wp:effectExtent l="0" t="0" r="0" b="1905"/>
            <wp:docPr id="21" name="Picture 21" descr="C:\Users\li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der\Desktop\Capture.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85518" cy="569655"/>
                    </a:xfrm>
                    <a:prstGeom prst="rect">
                      <a:avLst/>
                    </a:prstGeom>
                    <a:noFill/>
                    <a:ln>
                      <a:noFill/>
                    </a:ln>
                  </pic:spPr>
                </pic:pic>
              </a:graphicData>
            </a:graphic>
          </wp:inline>
        </w:drawing>
      </w:r>
    </w:p>
    <w:p w14:paraId="52AD88F7" w14:textId="77777777" w:rsidR="00371ABC" w:rsidRDefault="00371ABC" w:rsidP="009C2F29">
      <w:pPr>
        <w:autoSpaceDE w:val="0"/>
        <w:autoSpaceDN w:val="0"/>
        <w:adjustRightInd w:val="0"/>
        <w:spacing w:line="360" w:lineRule="auto"/>
        <w:jc w:val="center"/>
        <w:rPr>
          <w:rFonts w:ascii="Times New Roman CYR" w:hAnsi="Times New Roman CYR" w:cs="Times New Roman CYR"/>
          <w:b/>
          <w:bCs/>
          <w:sz w:val="28"/>
          <w:szCs w:val="28"/>
          <w:lang w:val="en-US"/>
        </w:rPr>
      </w:pPr>
    </w:p>
    <w:p w14:paraId="666C48A4" w14:textId="77777777" w:rsidR="00371ABC" w:rsidRDefault="00371ABC" w:rsidP="009C2F29">
      <w:pPr>
        <w:autoSpaceDE w:val="0"/>
        <w:autoSpaceDN w:val="0"/>
        <w:adjustRightInd w:val="0"/>
        <w:spacing w:line="360" w:lineRule="auto"/>
        <w:jc w:val="center"/>
        <w:rPr>
          <w:rFonts w:ascii="Times New Roman CYR" w:hAnsi="Times New Roman CYR" w:cs="Times New Roman CYR"/>
          <w:b/>
          <w:bCs/>
          <w:sz w:val="28"/>
          <w:szCs w:val="28"/>
          <w:lang w:val="en-US"/>
        </w:rPr>
      </w:pPr>
    </w:p>
    <w:p w14:paraId="632B9E68" w14:textId="77777777" w:rsidR="00371ABC" w:rsidRDefault="00371ABC" w:rsidP="009C2F29">
      <w:pPr>
        <w:autoSpaceDE w:val="0"/>
        <w:autoSpaceDN w:val="0"/>
        <w:adjustRightInd w:val="0"/>
        <w:spacing w:line="360" w:lineRule="auto"/>
        <w:jc w:val="center"/>
        <w:rPr>
          <w:rFonts w:ascii="Times New Roman CYR" w:hAnsi="Times New Roman CYR" w:cs="Times New Roman CYR"/>
          <w:b/>
          <w:bCs/>
          <w:sz w:val="28"/>
          <w:szCs w:val="28"/>
          <w:lang w:val="en-US"/>
        </w:rPr>
      </w:pPr>
    </w:p>
    <w:p w14:paraId="1B68EC07" w14:textId="77777777" w:rsidR="00371ABC" w:rsidRDefault="00371ABC" w:rsidP="009C2F29">
      <w:pPr>
        <w:autoSpaceDE w:val="0"/>
        <w:autoSpaceDN w:val="0"/>
        <w:adjustRightInd w:val="0"/>
        <w:spacing w:line="360" w:lineRule="auto"/>
        <w:jc w:val="center"/>
        <w:rPr>
          <w:rFonts w:ascii="Times New Roman CYR" w:hAnsi="Times New Roman CYR" w:cs="Times New Roman CYR"/>
          <w:b/>
          <w:bCs/>
          <w:sz w:val="28"/>
          <w:szCs w:val="28"/>
          <w:lang w:val="en-US"/>
        </w:rPr>
      </w:pPr>
    </w:p>
    <w:p w14:paraId="23337FC4" w14:textId="77777777" w:rsidR="00371ABC" w:rsidRDefault="00371ABC" w:rsidP="009C2F29">
      <w:pPr>
        <w:autoSpaceDE w:val="0"/>
        <w:autoSpaceDN w:val="0"/>
        <w:adjustRightInd w:val="0"/>
        <w:spacing w:line="360" w:lineRule="auto"/>
        <w:jc w:val="center"/>
        <w:rPr>
          <w:rFonts w:ascii="Times New Roman CYR" w:hAnsi="Times New Roman CYR" w:cs="Times New Roman CYR"/>
          <w:b/>
          <w:bCs/>
          <w:sz w:val="28"/>
          <w:szCs w:val="28"/>
          <w:lang w:val="en-US"/>
        </w:rPr>
      </w:pPr>
    </w:p>
    <w:p w14:paraId="09B95707" w14:textId="77777777" w:rsidR="00371ABC" w:rsidRDefault="00371ABC" w:rsidP="009C2F29">
      <w:pPr>
        <w:autoSpaceDE w:val="0"/>
        <w:autoSpaceDN w:val="0"/>
        <w:adjustRightInd w:val="0"/>
        <w:spacing w:line="360" w:lineRule="auto"/>
        <w:jc w:val="center"/>
        <w:rPr>
          <w:rFonts w:ascii="Times New Roman CYR" w:hAnsi="Times New Roman CYR" w:cs="Times New Roman CYR"/>
          <w:b/>
          <w:bCs/>
          <w:sz w:val="28"/>
          <w:szCs w:val="28"/>
          <w:lang w:val="en-US"/>
        </w:rPr>
      </w:pPr>
    </w:p>
    <w:p w14:paraId="264C4C56" w14:textId="77777777" w:rsidR="00371ABC" w:rsidRDefault="00371ABC" w:rsidP="009C2F29">
      <w:pPr>
        <w:autoSpaceDE w:val="0"/>
        <w:autoSpaceDN w:val="0"/>
        <w:adjustRightInd w:val="0"/>
        <w:spacing w:line="360" w:lineRule="auto"/>
        <w:jc w:val="center"/>
        <w:rPr>
          <w:rFonts w:ascii="Times New Roman CYR" w:hAnsi="Times New Roman CYR" w:cs="Times New Roman CYR"/>
          <w:b/>
          <w:bCs/>
          <w:sz w:val="28"/>
          <w:szCs w:val="28"/>
          <w:lang w:val="en-US"/>
        </w:rPr>
      </w:pPr>
    </w:p>
    <w:p w14:paraId="581939D6" w14:textId="77777777" w:rsidR="00371ABC" w:rsidRDefault="00371ABC" w:rsidP="009C2F29">
      <w:pPr>
        <w:autoSpaceDE w:val="0"/>
        <w:autoSpaceDN w:val="0"/>
        <w:adjustRightInd w:val="0"/>
        <w:spacing w:line="360" w:lineRule="auto"/>
        <w:jc w:val="center"/>
        <w:rPr>
          <w:rFonts w:ascii="Times New Roman CYR" w:hAnsi="Times New Roman CYR" w:cs="Times New Roman CYR"/>
          <w:b/>
          <w:bCs/>
          <w:sz w:val="28"/>
          <w:szCs w:val="28"/>
          <w:lang w:val="en-US"/>
        </w:rPr>
      </w:pPr>
    </w:p>
    <w:p w14:paraId="5ACCA23A" w14:textId="77777777" w:rsidR="00371ABC" w:rsidRDefault="00371ABC" w:rsidP="009C2F29">
      <w:pPr>
        <w:autoSpaceDE w:val="0"/>
        <w:autoSpaceDN w:val="0"/>
        <w:adjustRightInd w:val="0"/>
        <w:spacing w:line="360" w:lineRule="auto"/>
        <w:jc w:val="center"/>
        <w:rPr>
          <w:rFonts w:ascii="Times New Roman CYR" w:hAnsi="Times New Roman CYR" w:cs="Times New Roman CYR"/>
          <w:b/>
          <w:bCs/>
          <w:sz w:val="28"/>
          <w:szCs w:val="28"/>
          <w:lang w:val="en-US"/>
        </w:rPr>
      </w:pPr>
    </w:p>
    <w:p w14:paraId="777882F4" w14:textId="77777777" w:rsidR="00371ABC" w:rsidRDefault="00371ABC" w:rsidP="009C2F29">
      <w:pPr>
        <w:autoSpaceDE w:val="0"/>
        <w:autoSpaceDN w:val="0"/>
        <w:adjustRightInd w:val="0"/>
        <w:spacing w:line="360" w:lineRule="auto"/>
        <w:jc w:val="center"/>
        <w:rPr>
          <w:rFonts w:ascii="Times New Roman CYR" w:hAnsi="Times New Roman CYR" w:cs="Times New Roman CYR"/>
          <w:b/>
          <w:bCs/>
          <w:sz w:val="28"/>
          <w:szCs w:val="28"/>
          <w:lang w:val="en-US"/>
        </w:rPr>
      </w:pPr>
    </w:p>
    <w:p w14:paraId="6544BC74" w14:textId="77777777" w:rsidR="00371ABC" w:rsidRDefault="00371ABC" w:rsidP="009C2F29">
      <w:pPr>
        <w:autoSpaceDE w:val="0"/>
        <w:autoSpaceDN w:val="0"/>
        <w:adjustRightInd w:val="0"/>
        <w:spacing w:line="360" w:lineRule="auto"/>
        <w:jc w:val="center"/>
        <w:rPr>
          <w:rFonts w:ascii="Times New Roman CYR" w:hAnsi="Times New Roman CYR" w:cs="Times New Roman CYR"/>
          <w:b/>
          <w:bCs/>
          <w:sz w:val="28"/>
          <w:szCs w:val="28"/>
          <w:lang w:val="en-US"/>
        </w:rPr>
      </w:pPr>
    </w:p>
    <w:p w14:paraId="7CF4BD54" w14:textId="77777777" w:rsidR="00371ABC" w:rsidRPr="009C2F29" w:rsidRDefault="00371ABC" w:rsidP="009C2F29">
      <w:pPr>
        <w:autoSpaceDE w:val="0"/>
        <w:autoSpaceDN w:val="0"/>
        <w:adjustRightInd w:val="0"/>
        <w:spacing w:line="360" w:lineRule="auto"/>
        <w:jc w:val="center"/>
        <w:rPr>
          <w:rFonts w:ascii="Times New Roman CYR" w:hAnsi="Times New Roman CYR" w:cs="Times New Roman CYR"/>
          <w:b/>
          <w:bCs/>
          <w:sz w:val="28"/>
          <w:szCs w:val="28"/>
          <w:lang w:val="en-US"/>
        </w:rPr>
      </w:pPr>
    </w:p>
    <w:p w14:paraId="15CA2E85" w14:textId="2CCD87CC" w:rsidR="00DE6C2A" w:rsidRPr="00C50C14" w:rsidRDefault="00C50C14" w:rsidP="00CA3FB5">
      <w:pPr>
        <w:pStyle w:val="Heading2"/>
        <w:spacing w:line="360" w:lineRule="auto"/>
        <w:jc w:val="both"/>
        <w:rPr>
          <w:rFonts w:ascii="Times New Roman" w:hAnsi="Times New Roman" w:cs="Times New Roman"/>
        </w:rPr>
      </w:pPr>
      <w:bookmarkStart w:id="37" w:name="_Toc8434897"/>
      <w:bookmarkStart w:id="38" w:name="_Toc303675975"/>
      <w:r w:rsidRPr="00C50C14">
        <w:rPr>
          <w:rFonts w:ascii="Times New Roman" w:hAnsi="Times New Roman" w:cs="Times New Roman"/>
        </w:rPr>
        <w:t>Estimation of impact of the Inequality on Economic growth</w:t>
      </w:r>
      <w:bookmarkEnd w:id="37"/>
    </w:p>
    <w:bookmarkEnd w:id="38"/>
    <w:p w14:paraId="08676489" w14:textId="77777777" w:rsidR="00971C6C" w:rsidRPr="00C45FA7" w:rsidRDefault="00971C6C" w:rsidP="00C45FA7">
      <w:pPr>
        <w:pStyle w:val="Heading2"/>
        <w:numPr>
          <w:ilvl w:val="0"/>
          <w:numId w:val="0"/>
        </w:numPr>
        <w:spacing w:line="360" w:lineRule="auto"/>
        <w:jc w:val="both"/>
        <w:rPr>
          <w:rFonts w:ascii="Times New Roman" w:hAnsi="Times New Roman" w:cs="Times New Roman"/>
        </w:rPr>
      </w:pPr>
    </w:p>
    <w:p w14:paraId="6D00ABAC" w14:textId="2D8059E1" w:rsidR="000E65F7" w:rsidRDefault="00BA38E1" w:rsidP="00BA38E1">
      <w:pPr>
        <w:spacing w:line="360" w:lineRule="auto"/>
        <w:ind w:firstLine="576"/>
        <w:jc w:val="both"/>
        <w:rPr>
          <w:sz w:val="28"/>
        </w:rPr>
      </w:pPr>
      <w:r w:rsidRPr="00BA38E1">
        <w:rPr>
          <w:sz w:val="28"/>
        </w:rPr>
        <w:t>This section will have a look at the econometric model, which demonstrates the relationship between the GDP growth rate in 2006-2016 years, and the Gini coefficient. By doing these calculations, we will get information about how the Gini coefficient shows a reaction to the GDP growth rate when it changes.</w:t>
      </w:r>
    </w:p>
    <w:p w14:paraId="4D0736C4" w14:textId="77777777" w:rsidR="00BA38E1" w:rsidRDefault="00BA38E1" w:rsidP="00BA38E1">
      <w:pPr>
        <w:spacing w:line="360" w:lineRule="auto"/>
        <w:ind w:firstLine="576"/>
        <w:jc w:val="both"/>
        <w:rPr>
          <w:sz w:val="28"/>
        </w:rPr>
      </w:pPr>
    </w:p>
    <w:p w14:paraId="70DB5F6E" w14:textId="01EE23B2" w:rsidR="00BA38E1" w:rsidRDefault="00C15A8A" w:rsidP="00BA38E1">
      <w:pPr>
        <w:spacing w:line="360" w:lineRule="auto"/>
        <w:ind w:firstLine="576"/>
        <w:jc w:val="both"/>
        <w:rPr>
          <w:sz w:val="28"/>
        </w:rPr>
      </w:pPr>
      <w:r w:rsidRPr="00C15A8A">
        <w:rPr>
          <w:sz w:val="28"/>
        </w:rPr>
        <w:t xml:space="preserve">In this econometric model, we have selected 2 countries from each section and calculate their Real GDP growth rates and changes in the Gini coefficient between 2006 and 2015 separately on each country. The model is calculated in the EVIEWS computer program using the Least Squares method.  </w:t>
      </w:r>
    </w:p>
    <w:p w14:paraId="47D0F663" w14:textId="77777777" w:rsidR="007D5C52" w:rsidRDefault="007D5C52" w:rsidP="00BA38E1">
      <w:pPr>
        <w:spacing w:line="360" w:lineRule="auto"/>
        <w:ind w:firstLine="576"/>
        <w:jc w:val="both"/>
        <w:rPr>
          <w:sz w:val="28"/>
        </w:rPr>
      </w:pPr>
    </w:p>
    <w:p w14:paraId="5480FEB0" w14:textId="2661A051" w:rsidR="00763B95" w:rsidRDefault="009F12E8" w:rsidP="00763102">
      <w:pPr>
        <w:spacing w:line="360" w:lineRule="auto"/>
        <w:ind w:firstLine="576"/>
        <w:jc w:val="both"/>
        <w:rPr>
          <w:sz w:val="28"/>
        </w:rPr>
      </w:pPr>
      <w:r w:rsidRPr="009F12E8">
        <w:rPr>
          <w:sz w:val="28"/>
        </w:rPr>
        <w:t xml:space="preserve">Based on the result of our econometric calculations on Austria, when GDP </w:t>
      </w:r>
      <w:r w:rsidR="008A64EB">
        <w:rPr>
          <w:sz w:val="28"/>
        </w:rPr>
        <w:t>increased</w:t>
      </w:r>
      <w:r w:rsidRPr="009F12E8">
        <w:rPr>
          <w:sz w:val="28"/>
        </w:rPr>
        <w:t xml:space="preserve"> by 1 %, reacted to the Gini c</w:t>
      </w:r>
      <w:r>
        <w:rPr>
          <w:sz w:val="28"/>
        </w:rPr>
        <w:t xml:space="preserve">oefficient by </w:t>
      </w:r>
      <w:r w:rsidR="003C36DB">
        <w:rPr>
          <w:sz w:val="28"/>
        </w:rPr>
        <w:t>decreasing</w:t>
      </w:r>
      <w:r>
        <w:rPr>
          <w:sz w:val="28"/>
        </w:rPr>
        <w:t xml:space="preserve"> it by </w:t>
      </w:r>
      <w:r w:rsidRPr="009F12E8">
        <w:rPr>
          <w:sz w:val="28"/>
        </w:rPr>
        <w:t>-0.001. This calculated result is economically successful since the quantity of</w:t>
      </w:r>
      <w:r w:rsidR="00763B95">
        <w:rPr>
          <w:sz w:val="28"/>
        </w:rPr>
        <w:t xml:space="preserve"> probability is 0.0141</w:t>
      </w:r>
      <w:r w:rsidRPr="009F12E8">
        <w:rPr>
          <w:sz w:val="28"/>
        </w:rPr>
        <w:t>.</w:t>
      </w:r>
      <w:r w:rsidR="00763B95">
        <w:rPr>
          <w:sz w:val="28"/>
        </w:rPr>
        <w:t xml:space="preserve"> </w:t>
      </w:r>
    </w:p>
    <w:p w14:paraId="024F178C" w14:textId="77777777" w:rsidR="00763B95" w:rsidRDefault="00763B95" w:rsidP="00763102">
      <w:pPr>
        <w:spacing w:line="360" w:lineRule="auto"/>
        <w:ind w:firstLine="576"/>
        <w:jc w:val="both"/>
        <w:rPr>
          <w:sz w:val="28"/>
        </w:rPr>
      </w:pPr>
    </w:p>
    <w:p w14:paraId="608B7406" w14:textId="66231B67" w:rsidR="00763B95" w:rsidRDefault="00763B95" w:rsidP="00763B95">
      <w:pPr>
        <w:spacing w:line="360" w:lineRule="auto"/>
        <w:ind w:firstLine="576"/>
        <w:jc w:val="center"/>
        <w:rPr>
          <w:sz w:val="28"/>
        </w:rPr>
      </w:pPr>
      <w:r>
        <w:rPr>
          <w:b/>
          <w:i/>
          <w:noProof/>
          <w:sz w:val="32"/>
          <w:szCs w:val="28"/>
          <w:lang w:val="en-US" w:eastAsia="en-US"/>
        </w:rPr>
        <w:drawing>
          <wp:inline distT="0" distB="0" distL="0" distR="0" wp14:anchorId="6BDF1F26" wp14:editId="1ECA10AA">
            <wp:extent cx="4752975" cy="2381250"/>
            <wp:effectExtent l="0" t="0" r="9525" b="0"/>
            <wp:docPr id="31" name="Picture 31" descr="C:\Users\lider\Downloads\Austri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der\Downloads\Austria (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52975" cy="2381250"/>
                    </a:xfrm>
                    <a:prstGeom prst="rect">
                      <a:avLst/>
                    </a:prstGeom>
                    <a:noFill/>
                    <a:ln>
                      <a:noFill/>
                    </a:ln>
                  </pic:spPr>
                </pic:pic>
              </a:graphicData>
            </a:graphic>
          </wp:inline>
        </w:drawing>
      </w:r>
    </w:p>
    <w:p w14:paraId="0B191A28" w14:textId="77777777" w:rsidR="003C36DB" w:rsidRDefault="003C36DB" w:rsidP="00763102">
      <w:pPr>
        <w:spacing w:line="360" w:lineRule="auto"/>
        <w:ind w:firstLine="576"/>
        <w:jc w:val="both"/>
        <w:rPr>
          <w:sz w:val="28"/>
        </w:rPr>
      </w:pPr>
      <w:r>
        <w:rPr>
          <w:noProof/>
          <w:sz w:val="28"/>
          <w:lang w:val="en-US" w:eastAsia="en-US"/>
        </w:rPr>
        <w:drawing>
          <wp:inline distT="0" distB="0" distL="0" distR="0" wp14:anchorId="36081EF7" wp14:editId="1E9550B2">
            <wp:extent cx="5286375" cy="657225"/>
            <wp:effectExtent l="0" t="0" r="9525" b="9525"/>
            <wp:docPr id="33" name="Picture 33" descr="C:\Users\li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der\Desktop\Captur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86375" cy="657225"/>
                    </a:xfrm>
                    <a:prstGeom prst="rect">
                      <a:avLst/>
                    </a:prstGeom>
                    <a:noFill/>
                    <a:ln>
                      <a:noFill/>
                    </a:ln>
                  </pic:spPr>
                </pic:pic>
              </a:graphicData>
            </a:graphic>
          </wp:inline>
        </w:drawing>
      </w:r>
    </w:p>
    <w:p w14:paraId="5AF7A03C" w14:textId="77777777" w:rsidR="003C36DB" w:rsidRDefault="003C36DB" w:rsidP="00763102">
      <w:pPr>
        <w:spacing w:line="360" w:lineRule="auto"/>
        <w:ind w:firstLine="576"/>
        <w:jc w:val="both"/>
        <w:rPr>
          <w:sz w:val="28"/>
        </w:rPr>
      </w:pPr>
    </w:p>
    <w:p w14:paraId="54F59F8E" w14:textId="5D0D1BFD" w:rsidR="009F12E8" w:rsidRDefault="009F12E8" w:rsidP="00763102">
      <w:pPr>
        <w:spacing w:line="360" w:lineRule="auto"/>
        <w:ind w:firstLine="576"/>
        <w:jc w:val="both"/>
        <w:rPr>
          <w:sz w:val="28"/>
        </w:rPr>
      </w:pPr>
      <w:r w:rsidRPr="009F12E8">
        <w:rPr>
          <w:sz w:val="28"/>
        </w:rPr>
        <w:t>For calculating these results, we have been using formula is like that:</w:t>
      </w:r>
    </w:p>
    <w:p w14:paraId="3FA1AF0C" w14:textId="77777777" w:rsidR="00763102" w:rsidRDefault="00763102" w:rsidP="00763102">
      <w:pPr>
        <w:spacing w:line="360" w:lineRule="auto"/>
        <w:ind w:firstLine="576"/>
        <w:jc w:val="both"/>
        <w:rPr>
          <w:sz w:val="28"/>
        </w:rPr>
      </w:pPr>
    </w:p>
    <w:p w14:paraId="2D399697" w14:textId="4B202D52" w:rsidR="00DE707A" w:rsidRDefault="00DE707A" w:rsidP="00E522D7">
      <w:pPr>
        <w:spacing w:line="480" w:lineRule="auto"/>
        <w:ind w:firstLine="709"/>
        <w:jc w:val="center"/>
        <w:rPr>
          <w:b/>
          <w:sz w:val="28"/>
          <w:u w:val="single"/>
          <w:lang w:val="en-US" w:eastAsia="en-US"/>
        </w:rPr>
      </w:pPr>
      <w:r>
        <w:rPr>
          <w:b/>
          <w:sz w:val="28"/>
          <w:u w:val="single"/>
          <w:lang w:val="en-US" w:eastAsia="en-US"/>
        </w:rPr>
        <w:t>Gini Coefficient on Austria</w:t>
      </w:r>
      <w:r w:rsidR="009F12E8" w:rsidRPr="005A023E">
        <w:rPr>
          <w:b/>
          <w:sz w:val="28"/>
          <w:u w:val="single"/>
          <w:lang w:val="en-US" w:eastAsia="en-US"/>
        </w:rPr>
        <w:t xml:space="preserve"> = 0.</w:t>
      </w:r>
      <w:r>
        <w:rPr>
          <w:b/>
          <w:sz w:val="28"/>
          <w:u w:val="single"/>
          <w:lang w:val="en-US" w:eastAsia="en-US"/>
        </w:rPr>
        <w:t>307474</w:t>
      </w:r>
      <w:r w:rsidR="009F12E8" w:rsidRPr="005A023E">
        <w:rPr>
          <w:b/>
          <w:sz w:val="28"/>
          <w:u w:val="single"/>
          <w:lang w:val="en-US" w:eastAsia="en-US"/>
        </w:rPr>
        <w:t xml:space="preserve"> + </w:t>
      </w:r>
      <w:r>
        <w:rPr>
          <w:b/>
          <w:sz w:val="28"/>
          <w:u w:val="single"/>
          <w:lang w:val="en-US" w:eastAsia="en-US"/>
        </w:rPr>
        <w:t xml:space="preserve">(-0.001632) </w:t>
      </w:r>
      <w:r w:rsidR="009F12E8" w:rsidRPr="005A023E">
        <w:rPr>
          <w:b/>
          <w:sz w:val="28"/>
          <w:u w:val="single"/>
          <w:lang w:val="en-US" w:eastAsia="en-US"/>
        </w:rPr>
        <w:t>× GDP GR</w:t>
      </w:r>
    </w:p>
    <w:p w14:paraId="2C7778A9" w14:textId="77777777" w:rsidR="00E522D7" w:rsidRDefault="00E522D7" w:rsidP="00E522D7">
      <w:pPr>
        <w:spacing w:line="480" w:lineRule="auto"/>
        <w:ind w:firstLine="709"/>
        <w:jc w:val="center"/>
        <w:rPr>
          <w:b/>
          <w:sz w:val="28"/>
          <w:u w:val="single"/>
          <w:lang w:val="en-US" w:eastAsia="en-US"/>
        </w:rPr>
      </w:pPr>
    </w:p>
    <w:p w14:paraId="579D266E" w14:textId="28FC68F3" w:rsidR="003C36DB" w:rsidRDefault="00E41A53" w:rsidP="009F586C">
      <w:pPr>
        <w:spacing w:line="360" w:lineRule="auto"/>
        <w:ind w:firstLine="709"/>
        <w:jc w:val="both"/>
        <w:rPr>
          <w:sz w:val="28"/>
          <w:lang w:val="en-US" w:eastAsia="en-US"/>
        </w:rPr>
      </w:pPr>
      <w:r w:rsidRPr="00E41A53">
        <w:rPr>
          <w:sz w:val="28"/>
          <w:lang w:val="en-US" w:eastAsia="en-US"/>
        </w:rPr>
        <w:t xml:space="preserve">According to the results of France, </w:t>
      </w:r>
      <w:r w:rsidR="003C36DB">
        <w:rPr>
          <w:sz w:val="28"/>
          <w:lang w:val="en-US" w:eastAsia="en-US"/>
        </w:rPr>
        <w:t>the declining</w:t>
      </w:r>
      <w:r w:rsidRPr="00E41A53">
        <w:rPr>
          <w:sz w:val="28"/>
          <w:lang w:val="en-US" w:eastAsia="en-US"/>
        </w:rPr>
        <w:t xml:space="preserve"> of </w:t>
      </w:r>
      <w:r>
        <w:rPr>
          <w:sz w:val="28"/>
          <w:lang w:val="en-US" w:eastAsia="en-US"/>
        </w:rPr>
        <w:t xml:space="preserve">the </w:t>
      </w:r>
      <w:r w:rsidRPr="00E41A53">
        <w:rPr>
          <w:sz w:val="28"/>
          <w:lang w:val="en-US" w:eastAsia="en-US"/>
        </w:rPr>
        <w:t xml:space="preserve">Gini </w:t>
      </w:r>
      <w:r w:rsidR="0031678B">
        <w:rPr>
          <w:sz w:val="28"/>
          <w:lang w:val="en-US" w:eastAsia="en-US"/>
        </w:rPr>
        <w:t>coefficient amounted to - 0.001</w:t>
      </w:r>
      <w:r w:rsidRPr="00E41A53">
        <w:rPr>
          <w:sz w:val="28"/>
          <w:lang w:val="en-US" w:eastAsia="en-US"/>
        </w:rPr>
        <w:t xml:space="preserve"> against of each 1% </w:t>
      </w:r>
      <w:r w:rsidR="003C36DB">
        <w:rPr>
          <w:sz w:val="28"/>
          <w:lang w:val="en-US" w:eastAsia="en-US"/>
        </w:rPr>
        <w:t>rising</w:t>
      </w:r>
      <w:r w:rsidRPr="00E41A53">
        <w:rPr>
          <w:sz w:val="28"/>
          <w:lang w:val="en-US" w:eastAsia="en-US"/>
        </w:rPr>
        <w:t xml:space="preserve"> of GDP</w:t>
      </w:r>
      <w:r w:rsidR="008502EA">
        <w:rPr>
          <w:sz w:val="28"/>
          <w:lang w:val="en-US" w:eastAsia="en-US"/>
        </w:rPr>
        <w:t xml:space="preserve"> (Table 3)</w:t>
      </w:r>
      <w:r w:rsidRPr="00E41A53">
        <w:rPr>
          <w:sz w:val="28"/>
          <w:lang w:val="en-US" w:eastAsia="en-US"/>
        </w:rPr>
        <w:t>. This result demonstrates that the distribution of income is strong between populations, it means that equal distribution</w:t>
      </w:r>
      <w:r w:rsidR="0031678B">
        <w:rPr>
          <w:sz w:val="28"/>
          <w:lang w:val="en-US" w:eastAsia="en-US"/>
        </w:rPr>
        <w:t xml:space="preserve"> is high</w:t>
      </w:r>
      <w:r w:rsidRPr="00E41A53">
        <w:rPr>
          <w:sz w:val="28"/>
          <w:lang w:val="en-US" w:eastAsia="en-US"/>
        </w:rPr>
        <w:t>.</w:t>
      </w:r>
    </w:p>
    <w:p w14:paraId="78C22823" w14:textId="77777777" w:rsidR="003C36DB" w:rsidRDefault="003C36DB" w:rsidP="00763102">
      <w:pPr>
        <w:spacing w:line="360" w:lineRule="auto"/>
        <w:jc w:val="both"/>
        <w:rPr>
          <w:sz w:val="28"/>
          <w:lang w:val="en-US" w:eastAsia="en-US"/>
        </w:rPr>
      </w:pPr>
    </w:p>
    <w:p w14:paraId="4B8AD035" w14:textId="48EE1895" w:rsidR="003C36DB" w:rsidRDefault="003C36DB" w:rsidP="003C36DB">
      <w:pPr>
        <w:spacing w:line="360" w:lineRule="auto"/>
        <w:jc w:val="center"/>
        <w:rPr>
          <w:sz w:val="28"/>
          <w:lang w:val="en-US" w:eastAsia="en-US"/>
        </w:rPr>
      </w:pPr>
      <w:r>
        <w:rPr>
          <w:b/>
          <w:i/>
          <w:noProof/>
          <w:sz w:val="32"/>
          <w:szCs w:val="28"/>
          <w:lang w:val="en-US" w:eastAsia="en-US"/>
        </w:rPr>
        <w:drawing>
          <wp:inline distT="0" distB="0" distL="0" distR="0" wp14:anchorId="7131E943" wp14:editId="22CEA714">
            <wp:extent cx="4086225" cy="2905125"/>
            <wp:effectExtent l="0" t="0" r="9525" b="9525"/>
            <wp:docPr id="34" name="Picture 34" descr="C:\Users\lider\Downloads\F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der\Downloads\France.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86225" cy="2905125"/>
                    </a:xfrm>
                    <a:prstGeom prst="rect">
                      <a:avLst/>
                    </a:prstGeom>
                    <a:noFill/>
                    <a:ln>
                      <a:noFill/>
                    </a:ln>
                  </pic:spPr>
                </pic:pic>
              </a:graphicData>
            </a:graphic>
          </wp:inline>
        </w:drawing>
      </w:r>
    </w:p>
    <w:p w14:paraId="3E4AC9C1" w14:textId="11B786C7" w:rsidR="009F586C" w:rsidRPr="009F586C" w:rsidRDefault="009F586C" w:rsidP="009F586C">
      <w:pPr>
        <w:autoSpaceDE w:val="0"/>
        <w:autoSpaceDN w:val="0"/>
        <w:adjustRightInd w:val="0"/>
        <w:jc w:val="center"/>
        <w:rPr>
          <w:rFonts w:ascii="Times New Roman CYR" w:hAnsi="Times New Roman CYR" w:cs="Times New Roman CYR"/>
          <w:b/>
          <w:bCs/>
          <w:sz w:val="28"/>
          <w:szCs w:val="28"/>
          <w:lang w:val="en-US"/>
        </w:rPr>
      </w:pPr>
      <w:r>
        <w:rPr>
          <w:rFonts w:ascii="Times New Roman CYR" w:hAnsi="Times New Roman CYR" w:cs="Times New Roman CYR"/>
          <w:b/>
          <w:bCs/>
          <w:noProof/>
          <w:sz w:val="28"/>
          <w:szCs w:val="28"/>
          <w:lang w:val="en-US" w:eastAsia="en-US"/>
        </w:rPr>
        <w:drawing>
          <wp:inline distT="0" distB="0" distL="0" distR="0" wp14:anchorId="3DCF2B9D" wp14:editId="03F60F59">
            <wp:extent cx="5753100" cy="800100"/>
            <wp:effectExtent l="0" t="0" r="0" b="0"/>
            <wp:docPr id="37" name="Picture 37" descr="C:\Users\li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ider\Desktop\Captur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14:paraId="3A38F939" w14:textId="7842BADB" w:rsidR="003C36DB" w:rsidRDefault="003C36DB" w:rsidP="00763102">
      <w:pPr>
        <w:spacing w:line="360" w:lineRule="auto"/>
        <w:jc w:val="both"/>
        <w:rPr>
          <w:sz w:val="28"/>
          <w:lang w:val="en-US" w:eastAsia="en-US"/>
        </w:rPr>
      </w:pPr>
    </w:p>
    <w:p w14:paraId="36BDE383" w14:textId="77777777" w:rsidR="003C36DB" w:rsidRDefault="003C36DB" w:rsidP="00763102">
      <w:pPr>
        <w:spacing w:line="360" w:lineRule="auto"/>
        <w:jc w:val="both"/>
        <w:rPr>
          <w:sz w:val="28"/>
          <w:lang w:val="en-US" w:eastAsia="en-US"/>
        </w:rPr>
      </w:pPr>
    </w:p>
    <w:p w14:paraId="6777CB66" w14:textId="77777777" w:rsidR="009F586C" w:rsidRDefault="009F586C" w:rsidP="00763102">
      <w:pPr>
        <w:spacing w:line="360" w:lineRule="auto"/>
        <w:jc w:val="both"/>
        <w:rPr>
          <w:sz w:val="28"/>
          <w:lang w:val="en-US" w:eastAsia="en-US"/>
        </w:rPr>
      </w:pPr>
    </w:p>
    <w:p w14:paraId="7E5CA503" w14:textId="42D83F00" w:rsidR="00E522D7" w:rsidRDefault="00E41A53" w:rsidP="00763102">
      <w:pPr>
        <w:spacing w:line="360" w:lineRule="auto"/>
        <w:jc w:val="both"/>
        <w:rPr>
          <w:sz w:val="28"/>
          <w:lang w:val="en-US" w:eastAsia="en-US"/>
        </w:rPr>
      </w:pPr>
      <w:r>
        <w:rPr>
          <w:sz w:val="28"/>
          <w:lang w:val="en-US" w:eastAsia="en-US"/>
        </w:rPr>
        <w:t xml:space="preserve"> Let’s look at the formula for calculation:</w:t>
      </w:r>
    </w:p>
    <w:p w14:paraId="15976FAC" w14:textId="77777777" w:rsidR="00763102" w:rsidRDefault="00763102" w:rsidP="00763102">
      <w:pPr>
        <w:spacing w:line="360" w:lineRule="auto"/>
        <w:jc w:val="both"/>
        <w:rPr>
          <w:sz w:val="28"/>
          <w:lang w:val="en-US" w:eastAsia="en-US"/>
        </w:rPr>
      </w:pPr>
    </w:p>
    <w:p w14:paraId="418E5DBC" w14:textId="4DC6E5ED" w:rsidR="00E41A53" w:rsidRDefault="00E41A53" w:rsidP="00E41A53">
      <w:pPr>
        <w:spacing w:line="480" w:lineRule="auto"/>
        <w:ind w:firstLine="709"/>
        <w:jc w:val="center"/>
        <w:rPr>
          <w:b/>
          <w:sz w:val="28"/>
          <w:u w:val="single"/>
          <w:lang w:val="en-US" w:eastAsia="en-US"/>
        </w:rPr>
      </w:pPr>
      <w:r>
        <w:rPr>
          <w:b/>
          <w:sz w:val="28"/>
          <w:u w:val="single"/>
          <w:lang w:val="en-US" w:eastAsia="en-US"/>
        </w:rPr>
        <w:t>Gini Coefficient on France</w:t>
      </w:r>
      <w:r w:rsidRPr="005A023E">
        <w:rPr>
          <w:b/>
          <w:sz w:val="28"/>
          <w:u w:val="single"/>
          <w:lang w:val="en-US" w:eastAsia="en-US"/>
        </w:rPr>
        <w:t xml:space="preserve"> = 0.</w:t>
      </w:r>
      <w:r>
        <w:rPr>
          <w:b/>
          <w:sz w:val="28"/>
          <w:u w:val="single"/>
          <w:lang w:val="en-US" w:eastAsia="en-US"/>
        </w:rPr>
        <w:t>326857</w:t>
      </w:r>
      <w:r w:rsidRPr="005A023E">
        <w:rPr>
          <w:b/>
          <w:sz w:val="28"/>
          <w:u w:val="single"/>
          <w:lang w:val="en-US" w:eastAsia="en-US"/>
        </w:rPr>
        <w:t xml:space="preserve"> + </w:t>
      </w:r>
      <w:r>
        <w:rPr>
          <w:b/>
          <w:sz w:val="28"/>
          <w:u w:val="single"/>
          <w:lang w:val="en-US" w:eastAsia="en-US"/>
        </w:rPr>
        <w:t xml:space="preserve">(-0.001567) </w:t>
      </w:r>
      <w:r w:rsidRPr="005A023E">
        <w:rPr>
          <w:b/>
          <w:sz w:val="28"/>
          <w:u w:val="single"/>
          <w:lang w:val="en-US" w:eastAsia="en-US"/>
        </w:rPr>
        <w:t>× GDP GR</w:t>
      </w:r>
    </w:p>
    <w:p w14:paraId="5C5E021E" w14:textId="77777777" w:rsidR="00E41A53" w:rsidRDefault="00E41A53" w:rsidP="008502EA">
      <w:pPr>
        <w:spacing w:line="360" w:lineRule="auto"/>
        <w:jc w:val="both"/>
        <w:rPr>
          <w:sz w:val="28"/>
          <w:lang w:val="en-US" w:eastAsia="en-US"/>
        </w:rPr>
      </w:pPr>
    </w:p>
    <w:p w14:paraId="1552E298" w14:textId="42AA8885" w:rsidR="00DE707A" w:rsidRPr="009E17CF" w:rsidRDefault="008502EA" w:rsidP="008502EA">
      <w:pPr>
        <w:spacing w:line="360" w:lineRule="auto"/>
        <w:ind w:firstLine="709"/>
        <w:jc w:val="both"/>
        <w:rPr>
          <w:b/>
          <w:sz w:val="28"/>
          <w:u w:val="single"/>
          <w:lang w:val="en-US" w:eastAsia="en-US"/>
        </w:rPr>
      </w:pPr>
      <w:r w:rsidRPr="008502EA">
        <w:rPr>
          <w:sz w:val="28"/>
          <w:lang w:val="en-US" w:eastAsia="en-US"/>
        </w:rPr>
        <w:t xml:space="preserve">This calculation of Cyprus econometric model, we see that when GDP </w:t>
      </w:r>
      <w:r w:rsidR="009F586C">
        <w:rPr>
          <w:sz w:val="28"/>
          <w:lang w:val="en-US" w:eastAsia="en-US"/>
        </w:rPr>
        <w:t>boosting</w:t>
      </w:r>
      <w:r w:rsidRPr="008502EA">
        <w:rPr>
          <w:sz w:val="28"/>
          <w:lang w:val="en-US" w:eastAsia="en-US"/>
        </w:rPr>
        <w:t xml:space="preserve"> 1%, the Gini coefficient is </w:t>
      </w:r>
      <w:r w:rsidR="009F586C">
        <w:rPr>
          <w:sz w:val="28"/>
          <w:lang w:val="en-US" w:eastAsia="en-US"/>
        </w:rPr>
        <w:t>diminishing</w:t>
      </w:r>
      <w:r w:rsidR="0031678B">
        <w:rPr>
          <w:sz w:val="28"/>
          <w:lang w:val="en-US" w:eastAsia="en-US"/>
        </w:rPr>
        <w:t xml:space="preserve"> -0.006</w:t>
      </w:r>
      <w:r w:rsidR="009F586C">
        <w:rPr>
          <w:sz w:val="28"/>
          <w:lang w:val="en-US" w:eastAsia="en-US"/>
        </w:rPr>
        <w:t xml:space="preserve"> (Table 4).</w:t>
      </w:r>
      <w:r w:rsidR="00537E00">
        <w:rPr>
          <w:sz w:val="28"/>
          <w:lang w:val="en-US" w:eastAsia="en-US"/>
        </w:rPr>
        <w:t xml:space="preserve"> The good amount of R-squared and probability were showing that this result is economically significant</w:t>
      </w:r>
    </w:p>
    <w:p w14:paraId="1C62A322" w14:textId="0F18FF4F" w:rsidR="00BA38E1" w:rsidRPr="009F586C" w:rsidRDefault="00BA38E1" w:rsidP="00BA38E1">
      <w:pPr>
        <w:spacing w:line="360" w:lineRule="auto"/>
        <w:jc w:val="both"/>
        <w:rPr>
          <w:lang w:val="en-US"/>
        </w:rPr>
      </w:pPr>
    </w:p>
    <w:p w14:paraId="4DC6CD09" w14:textId="605B1EA5" w:rsidR="000E65F7" w:rsidRPr="003D4CD1" w:rsidRDefault="009F586C" w:rsidP="009F586C">
      <w:pPr>
        <w:jc w:val="center"/>
      </w:pPr>
      <w:r>
        <w:rPr>
          <w:b/>
          <w:i/>
          <w:noProof/>
          <w:sz w:val="32"/>
          <w:szCs w:val="28"/>
          <w:lang w:val="en-US" w:eastAsia="en-US"/>
        </w:rPr>
        <w:drawing>
          <wp:inline distT="0" distB="0" distL="0" distR="0" wp14:anchorId="22B385C5" wp14:editId="5C1FAAA2">
            <wp:extent cx="4095750" cy="2876550"/>
            <wp:effectExtent l="0" t="0" r="0" b="0"/>
            <wp:docPr id="36" name="Picture 36" descr="C:\Users\lider\Downloads\Cyp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der\Downloads\Cyprus.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95750" cy="2876550"/>
                    </a:xfrm>
                    <a:prstGeom prst="rect">
                      <a:avLst/>
                    </a:prstGeom>
                    <a:noFill/>
                    <a:ln>
                      <a:noFill/>
                    </a:ln>
                  </pic:spPr>
                </pic:pic>
              </a:graphicData>
            </a:graphic>
          </wp:inline>
        </w:drawing>
      </w:r>
    </w:p>
    <w:p w14:paraId="5EB4B8B2" w14:textId="77777777" w:rsidR="00971C6C" w:rsidRPr="003D4CD1" w:rsidRDefault="00971C6C" w:rsidP="008616FE"/>
    <w:p w14:paraId="2C286AC9" w14:textId="77777777" w:rsidR="00CA3FB5" w:rsidRDefault="00CA3FB5" w:rsidP="004324F4">
      <w:bookmarkStart w:id="39" w:name="_Toc233776948"/>
      <w:bookmarkStart w:id="40" w:name="_Toc235604383"/>
      <w:bookmarkStart w:id="41" w:name="_Toc235618241"/>
      <w:bookmarkStart w:id="42" w:name="_Toc235618359"/>
      <w:bookmarkStart w:id="43" w:name="_Toc235619241"/>
      <w:bookmarkStart w:id="44" w:name="_Toc235619782"/>
      <w:bookmarkStart w:id="45" w:name="_Toc303675977"/>
    </w:p>
    <w:p w14:paraId="25957012" w14:textId="60E7765F" w:rsidR="000F3F65" w:rsidRPr="009F586C" w:rsidRDefault="009F586C" w:rsidP="004324F4">
      <w:pPr>
        <w:rPr>
          <w:b/>
          <w:i/>
          <w:sz w:val="22"/>
          <w:lang w:val="en-US"/>
        </w:rPr>
      </w:pPr>
      <w:r>
        <w:rPr>
          <w:b/>
          <w:i/>
          <w:noProof/>
          <w:sz w:val="22"/>
          <w:lang w:val="en-US" w:eastAsia="en-US"/>
        </w:rPr>
        <w:drawing>
          <wp:inline distT="0" distB="0" distL="0" distR="0" wp14:anchorId="3DF3368F" wp14:editId="75804FA7">
            <wp:extent cx="5934075" cy="825269"/>
            <wp:effectExtent l="0" t="0" r="0" b="0"/>
            <wp:docPr id="38" name="Picture 38" descr="C:\Users\li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ider\Desktop\Captur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4075" cy="825269"/>
                    </a:xfrm>
                    <a:prstGeom prst="rect">
                      <a:avLst/>
                    </a:prstGeom>
                    <a:noFill/>
                    <a:ln>
                      <a:noFill/>
                    </a:ln>
                  </pic:spPr>
                </pic:pic>
              </a:graphicData>
            </a:graphic>
          </wp:inline>
        </w:drawing>
      </w:r>
    </w:p>
    <w:p w14:paraId="70F92E37" w14:textId="77777777" w:rsidR="000F3F65" w:rsidRPr="009F586C" w:rsidRDefault="000F3F65" w:rsidP="004324F4">
      <w:pPr>
        <w:rPr>
          <w:b/>
          <w:i/>
          <w:sz w:val="22"/>
        </w:rPr>
      </w:pPr>
    </w:p>
    <w:p w14:paraId="226EDF5B" w14:textId="77777777" w:rsidR="000F3F65" w:rsidRPr="009F586C" w:rsidRDefault="000F3F65" w:rsidP="004324F4">
      <w:pPr>
        <w:rPr>
          <w:b/>
          <w:i/>
          <w:sz w:val="22"/>
        </w:rPr>
      </w:pPr>
    </w:p>
    <w:p w14:paraId="7456E1EF" w14:textId="77777777" w:rsidR="00E27238" w:rsidRDefault="00E27238" w:rsidP="004324F4"/>
    <w:p w14:paraId="4426954B" w14:textId="1D01C929" w:rsidR="00E27238" w:rsidRDefault="00537E00" w:rsidP="004324F4">
      <w:pPr>
        <w:rPr>
          <w:rStyle w:val="word"/>
          <w:color w:val="000000"/>
          <w:sz w:val="28"/>
          <w:shd w:val="clear" w:color="auto" w:fill="FFFFFF"/>
        </w:rPr>
      </w:pPr>
      <w:r w:rsidRPr="00537E00">
        <w:rPr>
          <w:rStyle w:val="word"/>
          <w:color w:val="000000"/>
          <w:sz w:val="28"/>
          <w:shd w:val="clear" w:color="auto" w:fill="FFFFFF"/>
        </w:rPr>
        <w:t>Look at the calculation formula:</w:t>
      </w:r>
    </w:p>
    <w:p w14:paraId="01AD4B6F" w14:textId="77777777" w:rsidR="00ED6D7A" w:rsidRDefault="00ED6D7A" w:rsidP="004324F4">
      <w:pPr>
        <w:rPr>
          <w:rStyle w:val="word"/>
          <w:color w:val="000000"/>
          <w:sz w:val="28"/>
          <w:shd w:val="clear" w:color="auto" w:fill="FFFFFF"/>
        </w:rPr>
      </w:pPr>
    </w:p>
    <w:p w14:paraId="42600B73" w14:textId="77777777" w:rsidR="0031678B" w:rsidRDefault="0031678B" w:rsidP="004324F4">
      <w:pPr>
        <w:rPr>
          <w:rStyle w:val="word"/>
          <w:color w:val="000000"/>
          <w:sz w:val="28"/>
          <w:shd w:val="clear" w:color="auto" w:fill="FFFFFF"/>
        </w:rPr>
      </w:pPr>
    </w:p>
    <w:p w14:paraId="32055875" w14:textId="77777777" w:rsidR="00ED6D7A" w:rsidRDefault="00ED6D7A" w:rsidP="004324F4">
      <w:pPr>
        <w:rPr>
          <w:rStyle w:val="word"/>
          <w:color w:val="000000"/>
          <w:sz w:val="28"/>
          <w:shd w:val="clear" w:color="auto" w:fill="FFFFFF"/>
        </w:rPr>
      </w:pPr>
    </w:p>
    <w:p w14:paraId="684D89D3" w14:textId="0542A174" w:rsidR="00ED6D7A" w:rsidRDefault="00ED6D7A" w:rsidP="00ED6D7A">
      <w:pPr>
        <w:spacing w:line="480" w:lineRule="auto"/>
        <w:ind w:firstLine="709"/>
        <w:jc w:val="center"/>
        <w:rPr>
          <w:b/>
          <w:sz w:val="28"/>
          <w:u w:val="single"/>
          <w:lang w:val="en-US" w:eastAsia="en-US"/>
        </w:rPr>
      </w:pPr>
      <w:r>
        <w:rPr>
          <w:b/>
          <w:sz w:val="28"/>
          <w:u w:val="single"/>
          <w:lang w:val="en-US" w:eastAsia="en-US"/>
        </w:rPr>
        <w:t>Gini Coefficient on Cyprus</w:t>
      </w:r>
      <w:r w:rsidRPr="005A023E">
        <w:rPr>
          <w:b/>
          <w:sz w:val="28"/>
          <w:u w:val="single"/>
          <w:lang w:val="en-US" w:eastAsia="en-US"/>
        </w:rPr>
        <w:t xml:space="preserve"> = 0.</w:t>
      </w:r>
      <w:r>
        <w:rPr>
          <w:b/>
          <w:sz w:val="28"/>
          <w:u w:val="single"/>
          <w:lang w:val="en-US" w:eastAsia="en-US"/>
        </w:rPr>
        <w:t>330224</w:t>
      </w:r>
      <w:r w:rsidRPr="005A023E">
        <w:rPr>
          <w:b/>
          <w:sz w:val="28"/>
          <w:u w:val="single"/>
          <w:lang w:val="en-US" w:eastAsia="en-US"/>
        </w:rPr>
        <w:t xml:space="preserve"> + </w:t>
      </w:r>
      <w:r>
        <w:rPr>
          <w:b/>
          <w:sz w:val="28"/>
          <w:u w:val="single"/>
          <w:lang w:val="en-US" w:eastAsia="en-US"/>
        </w:rPr>
        <w:t xml:space="preserve">(-0.006321) </w:t>
      </w:r>
      <w:r w:rsidRPr="005A023E">
        <w:rPr>
          <w:b/>
          <w:sz w:val="28"/>
          <w:u w:val="single"/>
          <w:lang w:val="en-US" w:eastAsia="en-US"/>
        </w:rPr>
        <w:t>× GDP GR</w:t>
      </w:r>
    </w:p>
    <w:p w14:paraId="121F5267" w14:textId="77777777" w:rsidR="00ED6D7A" w:rsidRDefault="00ED6D7A" w:rsidP="004324F4">
      <w:pPr>
        <w:rPr>
          <w:sz w:val="28"/>
          <w:lang w:val="en-US"/>
        </w:rPr>
      </w:pPr>
    </w:p>
    <w:p w14:paraId="5CC80FCB" w14:textId="77777777" w:rsidR="00ED6D7A" w:rsidRDefault="00ED6D7A" w:rsidP="0031678B">
      <w:pPr>
        <w:spacing w:line="360" w:lineRule="auto"/>
        <w:jc w:val="both"/>
        <w:rPr>
          <w:sz w:val="32"/>
          <w:lang w:val="en-US"/>
        </w:rPr>
      </w:pPr>
    </w:p>
    <w:p w14:paraId="09609D5E" w14:textId="77777777" w:rsidR="0031678B" w:rsidRDefault="0031678B" w:rsidP="0031678B">
      <w:pPr>
        <w:spacing w:line="360" w:lineRule="auto"/>
        <w:jc w:val="both"/>
        <w:rPr>
          <w:sz w:val="32"/>
          <w:lang w:val="en-US"/>
        </w:rPr>
      </w:pPr>
    </w:p>
    <w:p w14:paraId="5A81D89E" w14:textId="77777777" w:rsidR="0031678B" w:rsidRPr="0031678B" w:rsidRDefault="0031678B" w:rsidP="0031678B">
      <w:pPr>
        <w:spacing w:line="360" w:lineRule="auto"/>
        <w:jc w:val="both"/>
        <w:rPr>
          <w:sz w:val="32"/>
          <w:lang w:val="en-US"/>
        </w:rPr>
      </w:pPr>
    </w:p>
    <w:p w14:paraId="0852E4AC" w14:textId="77777777" w:rsidR="00307229" w:rsidRDefault="00307229" w:rsidP="0031678B">
      <w:pPr>
        <w:spacing w:line="360" w:lineRule="auto"/>
        <w:jc w:val="both"/>
        <w:rPr>
          <w:sz w:val="28"/>
        </w:rPr>
      </w:pPr>
    </w:p>
    <w:p w14:paraId="173A47AC" w14:textId="274A8C70" w:rsidR="00E27238" w:rsidRDefault="0031678B" w:rsidP="0031678B">
      <w:pPr>
        <w:spacing w:line="360" w:lineRule="auto"/>
        <w:jc w:val="both"/>
        <w:rPr>
          <w:sz w:val="28"/>
        </w:rPr>
      </w:pPr>
      <w:r w:rsidRPr="0031678B">
        <w:rPr>
          <w:sz w:val="28"/>
        </w:rPr>
        <w:t>In addition, the model indicates that in the 2006-2015 periods, when GDP increases 1%, the Gini coefficient of Lithuania decline - 0.001 (Table 5).</w:t>
      </w:r>
    </w:p>
    <w:p w14:paraId="79A423C0" w14:textId="77777777" w:rsidR="0031678B" w:rsidRPr="0031678B" w:rsidRDefault="0031678B" w:rsidP="0031678B">
      <w:pPr>
        <w:spacing w:line="360" w:lineRule="auto"/>
        <w:jc w:val="both"/>
        <w:rPr>
          <w:sz w:val="28"/>
        </w:rPr>
      </w:pPr>
    </w:p>
    <w:p w14:paraId="79C2F7D8" w14:textId="12CC022B" w:rsidR="009F586C" w:rsidRDefault="0031678B" w:rsidP="0031678B">
      <w:pPr>
        <w:jc w:val="center"/>
      </w:pPr>
      <w:r>
        <w:rPr>
          <w:i/>
          <w:noProof/>
          <w:sz w:val="28"/>
          <w:szCs w:val="28"/>
          <w:lang w:val="en-US" w:eastAsia="en-US"/>
        </w:rPr>
        <w:drawing>
          <wp:inline distT="0" distB="0" distL="0" distR="0" wp14:anchorId="377BE29F" wp14:editId="26B1ADAD">
            <wp:extent cx="4095750" cy="2895600"/>
            <wp:effectExtent l="0" t="0" r="0" b="0"/>
            <wp:docPr id="39" name="Picture 39" descr="C:\Users\lider\Downloads\Lithua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der\Downloads\Lithuania.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95750" cy="2895600"/>
                    </a:xfrm>
                    <a:prstGeom prst="rect">
                      <a:avLst/>
                    </a:prstGeom>
                    <a:noFill/>
                    <a:ln>
                      <a:noFill/>
                    </a:ln>
                  </pic:spPr>
                </pic:pic>
              </a:graphicData>
            </a:graphic>
          </wp:inline>
        </w:drawing>
      </w:r>
    </w:p>
    <w:p w14:paraId="47AB19F8" w14:textId="77777777" w:rsidR="009F586C" w:rsidRDefault="009F586C" w:rsidP="004324F4"/>
    <w:p w14:paraId="0A102CB8" w14:textId="77777777" w:rsidR="009F586C" w:rsidRDefault="009F586C" w:rsidP="004324F4"/>
    <w:p w14:paraId="65DC5EF3" w14:textId="25B033A8" w:rsidR="0031678B" w:rsidRPr="0031678B" w:rsidRDefault="0031678B" w:rsidP="0031678B">
      <w:pPr>
        <w:autoSpaceDE w:val="0"/>
        <w:autoSpaceDN w:val="0"/>
        <w:adjustRightInd w:val="0"/>
        <w:jc w:val="center"/>
        <w:rPr>
          <w:b/>
          <w:bCs/>
          <w:i/>
          <w:szCs w:val="28"/>
          <w:lang w:val="en-US"/>
        </w:rPr>
      </w:pPr>
      <w:r>
        <w:rPr>
          <w:b/>
          <w:bCs/>
          <w:i/>
          <w:noProof/>
          <w:szCs w:val="28"/>
          <w:lang w:val="en-US" w:eastAsia="en-US"/>
        </w:rPr>
        <w:drawing>
          <wp:inline distT="0" distB="0" distL="0" distR="0" wp14:anchorId="5DD1E526" wp14:editId="40DE27F8">
            <wp:extent cx="5753100" cy="790575"/>
            <wp:effectExtent l="0" t="0" r="0" b="9525"/>
            <wp:docPr id="41" name="Picture 41" descr="C:\Users\li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ider\Desktop\Capture.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3100" cy="790575"/>
                    </a:xfrm>
                    <a:prstGeom prst="rect">
                      <a:avLst/>
                    </a:prstGeom>
                    <a:noFill/>
                    <a:ln>
                      <a:noFill/>
                    </a:ln>
                  </pic:spPr>
                </pic:pic>
              </a:graphicData>
            </a:graphic>
          </wp:inline>
        </w:drawing>
      </w:r>
    </w:p>
    <w:p w14:paraId="2990385B" w14:textId="77777777" w:rsidR="009F586C" w:rsidRPr="00D60A4D" w:rsidRDefault="009F586C" w:rsidP="00D60A4D">
      <w:pPr>
        <w:spacing w:line="360" w:lineRule="auto"/>
        <w:jc w:val="both"/>
        <w:rPr>
          <w:sz w:val="28"/>
          <w:lang w:val="en-US"/>
        </w:rPr>
      </w:pPr>
    </w:p>
    <w:p w14:paraId="1CCEC6AA" w14:textId="77777777" w:rsidR="009F586C" w:rsidRPr="00D60A4D" w:rsidRDefault="009F586C" w:rsidP="00D60A4D">
      <w:pPr>
        <w:spacing w:line="360" w:lineRule="auto"/>
        <w:jc w:val="both"/>
        <w:rPr>
          <w:sz w:val="28"/>
        </w:rPr>
      </w:pPr>
    </w:p>
    <w:p w14:paraId="43A825CC" w14:textId="43331821" w:rsidR="009F586C" w:rsidRDefault="00D60A4D" w:rsidP="00D60A4D">
      <w:pPr>
        <w:spacing w:line="360" w:lineRule="auto"/>
        <w:jc w:val="both"/>
        <w:rPr>
          <w:sz w:val="28"/>
        </w:rPr>
      </w:pPr>
      <w:r w:rsidRPr="00D60A4D">
        <w:rPr>
          <w:sz w:val="28"/>
        </w:rPr>
        <w:t xml:space="preserve">The Formula </w:t>
      </w:r>
      <w:r>
        <w:rPr>
          <w:sz w:val="28"/>
        </w:rPr>
        <w:t>is here</w:t>
      </w:r>
      <w:r w:rsidRPr="00D60A4D">
        <w:rPr>
          <w:sz w:val="28"/>
        </w:rPr>
        <w:t>:</w:t>
      </w:r>
    </w:p>
    <w:p w14:paraId="1A31912B" w14:textId="77777777" w:rsidR="00D60A4D" w:rsidRDefault="00D60A4D" w:rsidP="00D60A4D">
      <w:pPr>
        <w:spacing w:line="360" w:lineRule="auto"/>
        <w:jc w:val="both"/>
        <w:rPr>
          <w:sz w:val="28"/>
        </w:rPr>
      </w:pPr>
    </w:p>
    <w:p w14:paraId="4F23DA54" w14:textId="77777777" w:rsidR="00D60A4D" w:rsidRDefault="00D60A4D" w:rsidP="00D60A4D">
      <w:pPr>
        <w:rPr>
          <w:rStyle w:val="word"/>
          <w:color w:val="000000"/>
          <w:sz w:val="28"/>
          <w:shd w:val="clear" w:color="auto" w:fill="FFFFFF"/>
        </w:rPr>
      </w:pPr>
    </w:p>
    <w:p w14:paraId="7A9AD6AA" w14:textId="4F3C1953" w:rsidR="00D60A4D" w:rsidRDefault="00D60A4D" w:rsidP="00D60A4D">
      <w:pPr>
        <w:spacing w:line="360" w:lineRule="auto"/>
        <w:jc w:val="center"/>
        <w:rPr>
          <w:b/>
          <w:sz w:val="28"/>
          <w:u w:val="single"/>
          <w:lang w:val="en-US" w:eastAsia="en-US"/>
        </w:rPr>
      </w:pPr>
      <w:r>
        <w:rPr>
          <w:b/>
          <w:sz w:val="28"/>
          <w:u w:val="single"/>
          <w:lang w:val="en-US" w:eastAsia="en-US"/>
        </w:rPr>
        <w:t>Gini Coefficient on Lithuania</w:t>
      </w:r>
      <w:r w:rsidRPr="005A023E">
        <w:rPr>
          <w:b/>
          <w:sz w:val="28"/>
          <w:u w:val="single"/>
          <w:lang w:val="en-US" w:eastAsia="en-US"/>
        </w:rPr>
        <w:t xml:space="preserve"> = 0.</w:t>
      </w:r>
      <w:r>
        <w:rPr>
          <w:b/>
          <w:sz w:val="28"/>
          <w:u w:val="single"/>
          <w:lang w:val="en-US" w:eastAsia="en-US"/>
        </w:rPr>
        <w:t>355983</w:t>
      </w:r>
      <w:r w:rsidRPr="005A023E">
        <w:rPr>
          <w:b/>
          <w:sz w:val="28"/>
          <w:u w:val="single"/>
          <w:lang w:val="en-US" w:eastAsia="en-US"/>
        </w:rPr>
        <w:t xml:space="preserve"> + </w:t>
      </w:r>
      <w:r>
        <w:rPr>
          <w:b/>
          <w:sz w:val="28"/>
          <w:u w:val="single"/>
          <w:lang w:val="en-US" w:eastAsia="en-US"/>
        </w:rPr>
        <w:t xml:space="preserve">(-0.001567) </w:t>
      </w:r>
      <w:r w:rsidRPr="005A023E">
        <w:rPr>
          <w:b/>
          <w:sz w:val="28"/>
          <w:u w:val="single"/>
          <w:lang w:val="en-US" w:eastAsia="en-US"/>
        </w:rPr>
        <w:t>× GDP GR</w:t>
      </w:r>
    </w:p>
    <w:p w14:paraId="4FA46CC7" w14:textId="77777777" w:rsidR="00D60A4D" w:rsidRDefault="00D60A4D" w:rsidP="00D60A4D">
      <w:pPr>
        <w:spacing w:line="360" w:lineRule="auto"/>
        <w:jc w:val="center"/>
        <w:rPr>
          <w:b/>
          <w:sz w:val="28"/>
          <w:u w:val="single"/>
          <w:lang w:val="en-US" w:eastAsia="en-US"/>
        </w:rPr>
      </w:pPr>
    </w:p>
    <w:p w14:paraId="71EDF026" w14:textId="77777777" w:rsidR="00D60A4D" w:rsidRPr="00D60A4D" w:rsidRDefault="00D60A4D" w:rsidP="00D60A4D">
      <w:pPr>
        <w:spacing w:line="360" w:lineRule="auto"/>
        <w:jc w:val="center"/>
        <w:rPr>
          <w:sz w:val="28"/>
        </w:rPr>
      </w:pPr>
    </w:p>
    <w:p w14:paraId="1FF4AB0D" w14:textId="77777777" w:rsidR="00307229" w:rsidRDefault="00307229" w:rsidP="004324F4"/>
    <w:p w14:paraId="24BEEC3C" w14:textId="77777777" w:rsidR="009F586C" w:rsidRDefault="009F586C" w:rsidP="004324F4"/>
    <w:p w14:paraId="4B798D91" w14:textId="0B367DFD" w:rsidR="009F586C" w:rsidRPr="00307229" w:rsidRDefault="00307229" w:rsidP="00D60A4D">
      <w:pPr>
        <w:spacing w:line="360" w:lineRule="auto"/>
        <w:jc w:val="both"/>
        <w:rPr>
          <w:sz w:val="28"/>
        </w:rPr>
      </w:pPr>
      <w:r>
        <w:rPr>
          <w:sz w:val="28"/>
        </w:rPr>
        <w:t>Moreover, based on our estimations</w:t>
      </w:r>
      <w:r w:rsidR="001E67E0">
        <w:rPr>
          <w:sz w:val="28"/>
        </w:rPr>
        <w:t xml:space="preserve"> on Nigeria</w:t>
      </w:r>
      <w:r>
        <w:rPr>
          <w:sz w:val="28"/>
        </w:rPr>
        <w:t>, the declining of the Gini coefficient</w:t>
      </w:r>
      <w:r w:rsidR="001E67E0">
        <w:rPr>
          <w:sz w:val="28"/>
        </w:rPr>
        <w:t xml:space="preserve"> amounted to -0.001, when GDP escalating </w:t>
      </w:r>
      <w:r w:rsidR="00D60A4D">
        <w:rPr>
          <w:sz w:val="28"/>
        </w:rPr>
        <w:t>1% between period of the 2005-2015 (Table 6).</w:t>
      </w:r>
    </w:p>
    <w:p w14:paraId="1138D05E" w14:textId="04A7417A" w:rsidR="009F586C" w:rsidRDefault="00307229" w:rsidP="00307229">
      <w:pPr>
        <w:jc w:val="center"/>
      </w:pPr>
      <w:r>
        <w:rPr>
          <w:i/>
          <w:noProof/>
          <w:sz w:val="28"/>
          <w:szCs w:val="28"/>
          <w:lang w:val="en-US" w:eastAsia="en-US"/>
        </w:rPr>
        <w:drawing>
          <wp:inline distT="0" distB="0" distL="0" distR="0" wp14:anchorId="1F879FFE" wp14:editId="31118F5E">
            <wp:extent cx="4086225" cy="2905125"/>
            <wp:effectExtent l="0" t="0" r="9525" b="9525"/>
            <wp:docPr id="43" name="Picture 43" descr="C:\Users\lider\Downloads\Nig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der\Downloads\Nigeria.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86225" cy="2905125"/>
                    </a:xfrm>
                    <a:prstGeom prst="rect">
                      <a:avLst/>
                    </a:prstGeom>
                    <a:noFill/>
                    <a:ln>
                      <a:noFill/>
                    </a:ln>
                  </pic:spPr>
                </pic:pic>
              </a:graphicData>
            </a:graphic>
          </wp:inline>
        </w:drawing>
      </w:r>
    </w:p>
    <w:p w14:paraId="4B9E4DB6" w14:textId="77777777" w:rsidR="009F586C" w:rsidRPr="009472B1" w:rsidRDefault="009F586C" w:rsidP="009472B1">
      <w:pPr>
        <w:spacing w:line="360" w:lineRule="auto"/>
        <w:jc w:val="both"/>
        <w:rPr>
          <w:b/>
          <w:i/>
        </w:rPr>
      </w:pPr>
    </w:p>
    <w:p w14:paraId="69A55AC0" w14:textId="77A9B79B" w:rsidR="009472B1" w:rsidRPr="009472B1" w:rsidRDefault="009472B1" w:rsidP="009472B1">
      <w:pPr>
        <w:autoSpaceDE w:val="0"/>
        <w:autoSpaceDN w:val="0"/>
        <w:adjustRightInd w:val="0"/>
        <w:jc w:val="center"/>
        <w:rPr>
          <w:rFonts w:ascii="Times New Roman CYR" w:hAnsi="Times New Roman CYR" w:cs="Times New Roman CYR"/>
          <w:b/>
          <w:bCs/>
          <w:sz w:val="28"/>
          <w:szCs w:val="28"/>
          <w:lang w:val="en-US"/>
        </w:rPr>
      </w:pPr>
      <w:r>
        <w:rPr>
          <w:rFonts w:ascii="Times New Roman CYR" w:hAnsi="Times New Roman CYR" w:cs="Times New Roman CYR"/>
          <w:b/>
          <w:bCs/>
          <w:noProof/>
          <w:sz w:val="28"/>
          <w:szCs w:val="28"/>
          <w:lang w:val="en-US" w:eastAsia="en-US"/>
        </w:rPr>
        <w:drawing>
          <wp:inline distT="0" distB="0" distL="0" distR="0" wp14:anchorId="1CD41BD4" wp14:editId="745EE5FB">
            <wp:extent cx="5753100" cy="800100"/>
            <wp:effectExtent l="0" t="0" r="0" b="0"/>
            <wp:docPr id="45" name="Picture 45" descr="C:\Users\li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ider\Desktop\Capture.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14:paraId="58594D5E" w14:textId="77777777" w:rsidR="009472B1" w:rsidRDefault="009472B1" w:rsidP="009472B1">
      <w:pPr>
        <w:spacing w:line="360" w:lineRule="auto"/>
        <w:jc w:val="both"/>
        <w:rPr>
          <w:sz w:val="28"/>
        </w:rPr>
      </w:pPr>
    </w:p>
    <w:p w14:paraId="74FA048F" w14:textId="77777777" w:rsidR="009472B1" w:rsidRPr="009472B1" w:rsidRDefault="009472B1" w:rsidP="009472B1">
      <w:pPr>
        <w:spacing w:line="360" w:lineRule="auto"/>
        <w:jc w:val="both"/>
        <w:rPr>
          <w:sz w:val="28"/>
        </w:rPr>
      </w:pPr>
    </w:p>
    <w:p w14:paraId="50A63E0E" w14:textId="44F5A507" w:rsidR="009D4D36" w:rsidRPr="009472B1" w:rsidRDefault="009472B1" w:rsidP="009472B1">
      <w:pPr>
        <w:spacing w:line="360" w:lineRule="auto"/>
        <w:jc w:val="both"/>
        <w:rPr>
          <w:sz w:val="28"/>
        </w:rPr>
      </w:pPr>
      <w:r w:rsidRPr="009472B1">
        <w:rPr>
          <w:sz w:val="28"/>
        </w:rPr>
        <w:t>Here is the formula you have acquired</w:t>
      </w:r>
      <w:r>
        <w:rPr>
          <w:sz w:val="28"/>
        </w:rPr>
        <w:t>:</w:t>
      </w:r>
    </w:p>
    <w:p w14:paraId="14A79267" w14:textId="031258A2" w:rsidR="009D4D36" w:rsidRDefault="009D4D36" w:rsidP="004324F4"/>
    <w:p w14:paraId="7BA841CC" w14:textId="77777777" w:rsidR="009D4D36" w:rsidRDefault="009D4D36" w:rsidP="004324F4"/>
    <w:p w14:paraId="1D48907D" w14:textId="77777777" w:rsidR="009472B1" w:rsidRDefault="009472B1" w:rsidP="004324F4"/>
    <w:p w14:paraId="00F11AC9" w14:textId="1801EF5D" w:rsidR="009D4D36" w:rsidRDefault="009472B1" w:rsidP="009472B1">
      <w:pPr>
        <w:jc w:val="center"/>
        <w:rPr>
          <w:b/>
          <w:sz w:val="28"/>
          <w:u w:val="single"/>
          <w:lang w:val="en-US" w:eastAsia="en-US"/>
        </w:rPr>
      </w:pPr>
      <w:r>
        <w:rPr>
          <w:b/>
          <w:sz w:val="28"/>
          <w:u w:val="single"/>
          <w:lang w:val="en-US" w:eastAsia="en-US"/>
        </w:rPr>
        <w:t>Gini Coefficient on Nigeria</w:t>
      </w:r>
      <w:r w:rsidRPr="005A023E">
        <w:rPr>
          <w:b/>
          <w:sz w:val="28"/>
          <w:u w:val="single"/>
          <w:lang w:val="en-US" w:eastAsia="en-US"/>
        </w:rPr>
        <w:t xml:space="preserve"> = 0.</w:t>
      </w:r>
      <w:r>
        <w:rPr>
          <w:b/>
          <w:sz w:val="28"/>
          <w:u w:val="single"/>
          <w:lang w:val="en-US" w:eastAsia="en-US"/>
        </w:rPr>
        <w:t>439393</w:t>
      </w:r>
      <w:r w:rsidRPr="005A023E">
        <w:rPr>
          <w:b/>
          <w:sz w:val="28"/>
          <w:u w:val="single"/>
          <w:lang w:val="en-US" w:eastAsia="en-US"/>
        </w:rPr>
        <w:t xml:space="preserve"> + </w:t>
      </w:r>
      <w:r>
        <w:rPr>
          <w:b/>
          <w:sz w:val="28"/>
          <w:u w:val="single"/>
          <w:lang w:val="en-US" w:eastAsia="en-US"/>
        </w:rPr>
        <w:t xml:space="preserve">(-0.001813) </w:t>
      </w:r>
      <w:r w:rsidRPr="005A023E">
        <w:rPr>
          <w:b/>
          <w:sz w:val="28"/>
          <w:u w:val="single"/>
          <w:lang w:val="en-US" w:eastAsia="en-US"/>
        </w:rPr>
        <w:t>× GDP GR</w:t>
      </w:r>
    </w:p>
    <w:p w14:paraId="03DBCCC0" w14:textId="77777777" w:rsidR="009472B1" w:rsidRDefault="009472B1" w:rsidP="009472B1">
      <w:pPr>
        <w:jc w:val="center"/>
        <w:rPr>
          <w:b/>
          <w:sz w:val="28"/>
          <w:u w:val="single"/>
          <w:lang w:val="en-US" w:eastAsia="en-US"/>
        </w:rPr>
      </w:pPr>
    </w:p>
    <w:p w14:paraId="224AA437" w14:textId="77777777" w:rsidR="009472B1" w:rsidRDefault="009472B1" w:rsidP="009472B1">
      <w:pPr>
        <w:jc w:val="center"/>
        <w:rPr>
          <w:b/>
          <w:sz w:val="28"/>
          <w:u w:val="single"/>
          <w:lang w:val="en-US" w:eastAsia="en-US"/>
        </w:rPr>
      </w:pPr>
    </w:p>
    <w:p w14:paraId="71D8438B" w14:textId="77777777" w:rsidR="009472B1" w:rsidRDefault="009472B1" w:rsidP="009472B1">
      <w:pPr>
        <w:jc w:val="center"/>
        <w:rPr>
          <w:b/>
          <w:sz w:val="28"/>
          <w:u w:val="single"/>
          <w:lang w:val="en-US" w:eastAsia="en-US"/>
        </w:rPr>
      </w:pPr>
    </w:p>
    <w:p w14:paraId="7BE48BF4" w14:textId="77777777" w:rsidR="007266FF" w:rsidRDefault="007266FF" w:rsidP="009472B1">
      <w:pPr>
        <w:jc w:val="center"/>
        <w:rPr>
          <w:b/>
          <w:sz w:val="28"/>
          <w:u w:val="single"/>
          <w:lang w:val="en-US" w:eastAsia="en-US"/>
        </w:rPr>
      </w:pPr>
    </w:p>
    <w:p w14:paraId="09DA0F79" w14:textId="77777777" w:rsidR="007266FF" w:rsidRDefault="007266FF" w:rsidP="009472B1">
      <w:pPr>
        <w:jc w:val="center"/>
        <w:rPr>
          <w:b/>
          <w:sz w:val="28"/>
          <w:u w:val="single"/>
          <w:lang w:val="en-US" w:eastAsia="en-US"/>
        </w:rPr>
      </w:pPr>
    </w:p>
    <w:p w14:paraId="045C0D23" w14:textId="29141736" w:rsidR="00B15B8F" w:rsidRPr="007266FF" w:rsidRDefault="00B15B8F" w:rsidP="007266FF">
      <w:pPr>
        <w:spacing w:line="360" w:lineRule="auto"/>
        <w:jc w:val="both"/>
        <w:rPr>
          <w:sz w:val="28"/>
          <w:lang w:val="en-US" w:eastAsia="en-US"/>
        </w:rPr>
      </w:pPr>
      <w:r w:rsidRPr="00B15B8F">
        <w:rPr>
          <w:sz w:val="28"/>
          <w:lang w:val="en-US" w:eastAsia="en-US"/>
        </w:rPr>
        <w:t>In this model, ac</w:t>
      </w:r>
      <w:r w:rsidR="007266FF">
        <w:rPr>
          <w:sz w:val="28"/>
          <w:lang w:val="en-US" w:eastAsia="en-US"/>
        </w:rPr>
        <w:t>cording to the results, when</w:t>
      </w:r>
      <w:r w:rsidRPr="00B15B8F">
        <w:rPr>
          <w:sz w:val="28"/>
          <w:lang w:val="en-US" w:eastAsia="en-US"/>
        </w:rPr>
        <w:t xml:space="preserve"> </w:t>
      </w:r>
      <w:r w:rsidR="007266FF">
        <w:rPr>
          <w:sz w:val="28"/>
          <w:lang w:val="en-US" w:eastAsia="en-US"/>
        </w:rPr>
        <w:t xml:space="preserve">the </w:t>
      </w:r>
      <w:r w:rsidRPr="00B15B8F">
        <w:rPr>
          <w:sz w:val="28"/>
          <w:lang w:val="en-US" w:eastAsia="en-US"/>
        </w:rPr>
        <w:t>GDP is changing</w:t>
      </w:r>
      <w:r w:rsidR="007266FF">
        <w:rPr>
          <w:sz w:val="28"/>
          <w:lang w:val="en-US" w:eastAsia="en-US"/>
        </w:rPr>
        <w:t xml:space="preserve"> 1%</w:t>
      </w:r>
      <w:r w:rsidRPr="00B15B8F">
        <w:rPr>
          <w:sz w:val="28"/>
          <w:lang w:val="en-US" w:eastAsia="en-US"/>
        </w:rPr>
        <w:t xml:space="preserve"> positively betwe</w:t>
      </w:r>
      <w:r w:rsidR="007266FF">
        <w:rPr>
          <w:sz w:val="28"/>
          <w:lang w:val="en-US" w:eastAsia="en-US"/>
        </w:rPr>
        <w:t xml:space="preserve">en the period of the 2006-2015, </w:t>
      </w:r>
      <w:r w:rsidRPr="00B15B8F">
        <w:rPr>
          <w:sz w:val="28"/>
          <w:lang w:val="en-US" w:eastAsia="en-US"/>
        </w:rPr>
        <w:t xml:space="preserve">the Gini coefficient is </w:t>
      </w:r>
      <w:r w:rsidR="007266FF" w:rsidRPr="00B15B8F">
        <w:rPr>
          <w:sz w:val="28"/>
          <w:lang w:val="en-US" w:eastAsia="en-US"/>
        </w:rPr>
        <w:t xml:space="preserve">diminishing </w:t>
      </w:r>
      <w:r w:rsidR="007266FF">
        <w:rPr>
          <w:sz w:val="28"/>
          <w:lang w:val="en-US" w:eastAsia="en-US"/>
        </w:rPr>
        <w:t>-</w:t>
      </w:r>
      <w:r w:rsidRPr="00B15B8F">
        <w:rPr>
          <w:sz w:val="28"/>
          <w:lang w:val="en-US" w:eastAsia="en-US"/>
        </w:rPr>
        <w:t>0.001813 (Table 7).</w:t>
      </w:r>
    </w:p>
    <w:p w14:paraId="5A70A45F" w14:textId="4B72BA46" w:rsidR="00B15B8F" w:rsidRPr="00825D93" w:rsidRDefault="00B15B8F" w:rsidP="007266FF">
      <w:pPr>
        <w:jc w:val="center"/>
        <w:rPr>
          <w:sz w:val="28"/>
          <w:lang w:val="en-US" w:eastAsia="en-US"/>
        </w:rPr>
      </w:pPr>
      <w:r>
        <w:rPr>
          <w:noProof/>
          <w:lang w:val="en-US" w:eastAsia="en-US"/>
        </w:rPr>
        <w:drawing>
          <wp:inline distT="0" distB="0" distL="0" distR="0" wp14:anchorId="0B60DBDC" wp14:editId="1DDF44E4">
            <wp:extent cx="4200525" cy="28575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4200525" cy="2857500"/>
                    </a:xfrm>
                    <a:prstGeom prst="rect">
                      <a:avLst/>
                    </a:prstGeom>
                  </pic:spPr>
                </pic:pic>
              </a:graphicData>
            </a:graphic>
          </wp:inline>
        </w:drawing>
      </w:r>
    </w:p>
    <w:p w14:paraId="3C9D453F" w14:textId="563C50BB" w:rsidR="009D4D36" w:rsidRDefault="009D4D36" w:rsidP="004324F4"/>
    <w:p w14:paraId="78764C83" w14:textId="1EC6751C" w:rsidR="009D4D36" w:rsidRDefault="009D4D36" w:rsidP="004324F4"/>
    <w:p w14:paraId="6D6245F5" w14:textId="77777777" w:rsidR="009D4D36" w:rsidRDefault="009D4D36" w:rsidP="004324F4"/>
    <w:p w14:paraId="6E22B852" w14:textId="6D96F145" w:rsidR="009D4D36" w:rsidRDefault="007266FF" w:rsidP="007266FF">
      <w:pPr>
        <w:spacing w:line="360" w:lineRule="auto"/>
        <w:jc w:val="both"/>
        <w:rPr>
          <w:sz w:val="28"/>
        </w:rPr>
      </w:pPr>
      <w:r w:rsidRPr="007266FF">
        <w:rPr>
          <w:sz w:val="28"/>
        </w:rPr>
        <w:t>Look at the formula here:</w:t>
      </w:r>
    </w:p>
    <w:p w14:paraId="259B73B9" w14:textId="77777777" w:rsidR="007266FF" w:rsidRDefault="007266FF" w:rsidP="007266FF">
      <w:pPr>
        <w:spacing w:line="360" w:lineRule="auto"/>
        <w:jc w:val="both"/>
        <w:rPr>
          <w:sz w:val="28"/>
        </w:rPr>
      </w:pPr>
    </w:p>
    <w:p w14:paraId="57B34477" w14:textId="77777777" w:rsidR="007266FF" w:rsidRPr="007266FF" w:rsidRDefault="007266FF" w:rsidP="007266FF">
      <w:pPr>
        <w:spacing w:line="360" w:lineRule="auto"/>
        <w:jc w:val="both"/>
        <w:rPr>
          <w:sz w:val="28"/>
        </w:rPr>
      </w:pPr>
    </w:p>
    <w:p w14:paraId="025AB9CF" w14:textId="77777777" w:rsidR="007266FF" w:rsidRDefault="007266FF" w:rsidP="007266FF">
      <w:pPr>
        <w:spacing w:line="480" w:lineRule="auto"/>
        <w:ind w:firstLine="709"/>
        <w:jc w:val="center"/>
        <w:rPr>
          <w:b/>
          <w:sz w:val="28"/>
          <w:u w:val="single"/>
          <w:lang w:val="en-US" w:eastAsia="en-US"/>
        </w:rPr>
      </w:pPr>
      <w:r>
        <w:rPr>
          <w:b/>
          <w:sz w:val="28"/>
          <w:u w:val="single"/>
          <w:lang w:val="en-US" w:eastAsia="en-US"/>
        </w:rPr>
        <w:t>Gini Coefficient on Cyprus</w:t>
      </w:r>
      <w:r w:rsidRPr="005A023E">
        <w:rPr>
          <w:b/>
          <w:sz w:val="28"/>
          <w:u w:val="single"/>
          <w:lang w:val="en-US" w:eastAsia="en-US"/>
        </w:rPr>
        <w:t xml:space="preserve"> = 0.</w:t>
      </w:r>
      <w:r>
        <w:rPr>
          <w:b/>
          <w:sz w:val="28"/>
          <w:u w:val="single"/>
          <w:lang w:val="en-US" w:eastAsia="en-US"/>
        </w:rPr>
        <w:t>330224</w:t>
      </w:r>
      <w:r w:rsidRPr="005A023E">
        <w:rPr>
          <w:b/>
          <w:sz w:val="28"/>
          <w:u w:val="single"/>
          <w:lang w:val="en-US" w:eastAsia="en-US"/>
        </w:rPr>
        <w:t xml:space="preserve"> + </w:t>
      </w:r>
      <w:r>
        <w:rPr>
          <w:b/>
          <w:sz w:val="28"/>
          <w:u w:val="single"/>
          <w:lang w:val="en-US" w:eastAsia="en-US"/>
        </w:rPr>
        <w:t xml:space="preserve">(-0.006321) </w:t>
      </w:r>
      <w:r w:rsidRPr="005A023E">
        <w:rPr>
          <w:b/>
          <w:sz w:val="28"/>
          <w:u w:val="single"/>
          <w:lang w:val="en-US" w:eastAsia="en-US"/>
        </w:rPr>
        <w:t>× GDP GR</w:t>
      </w:r>
    </w:p>
    <w:p w14:paraId="4506066B" w14:textId="77777777" w:rsidR="009D4D36" w:rsidRPr="007266FF" w:rsidRDefault="009D4D36" w:rsidP="004324F4">
      <w:pPr>
        <w:rPr>
          <w:lang w:val="en-US"/>
        </w:rPr>
      </w:pPr>
    </w:p>
    <w:p w14:paraId="13310E9D" w14:textId="77777777" w:rsidR="009D4D36" w:rsidRDefault="009D4D36" w:rsidP="004324F4"/>
    <w:p w14:paraId="1318155D" w14:textId="77777777" w:rsidR="009F586C" w:rsidRDefault="009F586C" w:rsidP="004324F4"/>
    <w:p w14:paraId="1DF846E3" w14:textId="77777777" w:rsidR="009F586C" w:rsidRDefault="009F586C" w:rsidP="004324F4"/>
    <w:p w14:paraId="58C42B7C" w14:textId="77777777" w:rsidR="009F586C" w:rsidRDefault="009F586C" w:rsidP="004324F4"/>
    <w:p w14:paraId="78C516A6" w14:textId="77777777" w:rsidR="009F586C" w:rsidRDefault="009F586C" w:rsidP="004324F4"/>
    <w:p w14:paraId="13567548" w14:textId="77777777" w:rsidR="007266FF" w:rsidRDefault="007266FF" w:rsidP="004324F4"/>
    <w:p w14:paraId="76DDFBC8" w14:textId="77777777" w:rsidR="007266FF" w:rsidRDefault="007266FF" w:rsidP="004324F4"/>
    <w:p w14:paraId="3D112370" w14:textId="77777777" w:rsidR="007266FF" w:rsidRDefault="007266FF" w:rsidP="004324F4"/>
    <w:p w14:paraId="55895C39" w14:textId="77777777" w:rsidR="007266FF" w:rsidRDefault="007266FF" w:rsidP="004324F4"/>
    <w:p w14:paraId="11A3DD10" w14:textId="77777777" w:rsidR="007266FF" w:rsidRDefault="007266FF" w:rsidP="004324F4"/>
    <w:p w14:paraId="566466EF" w14:textId="77777777" w:rsidR="007266FF" w:rsidRDefault="007266FF" w:rsidP="004324F4"/>
    <w:p w14:paraId="64CDBA89" w14:textId="77777777" w:rsidR="007266FF" w:rsidRDefault="007266FF" w:rsidP="004324F4"/>
    <w:p w14:paraId="437A0032" w14:textId="77777777" w:rsidR="007266FF" w:rsidRDefault="007266FF" w:rsidP="004324F4"/>
    <w:p w14:paraId="31897FB7" w14:textId="77777777" w:rsidR="007266FF" w:rsidRDefault="007266FF" w:rsidP="004324F4"/>
    <w:p w14:paraId="02F54B0D" w14:textId="77777777" w:rsidR="007266FF" w:rsidRDefault="007266FF" w:rsidP="004324F4"/>
    <w:p w14:paraId="3C02E002" w14:textId="77777777" w:rsidR="009F586C" w:rsidRDefault="009F586C" w:rsidP="004324F4"/>
    <w:p w14:paraId="127B64C7" w14:textId="77777777" w:rsidR="00CA3FB5" w:rsidRDefault="00CA3FB5" w:rsidP="004324F4"/>
    <w:p w14:paraId="22D5DB0B" w14:textId="77777777" w:rsidR="00CA3FB5" w:rsidRDefault="00CA3FB5" w:rsidP="004324F4"/>
    <w:p w14:paraId="01410A0B" w14:textId="77777777" w:rsidR="00CA3FB5" w:rsidRPr="003D4CD1" w:rsidRDefault="00CA3FB5" w:rsidP="004324F4"/>
    <w:p w14:paraId="372B01B1" w14:textId="17F5B6FC" w:rsidR="00971C6C" w:rsidRPr="00E73BEA" w:rsidRDefault="00157721" w:rsidP="00CA3FB5">
      <w:pPr>
        <w:pStyle w:val="Heading1"/>
        <w:spacing w:line="360" w:lineRule="auto"/>
        <w:rPr>
          <w:rFonts w:ascii="Times New Roman" w:hAnsi="Times New Roman" w:cs="Times New Roman"/>
          <w:sz w:val="40"/>
        </w:rPr>
      </w:pPr>
      <w:bookmarkStart w:id="46" w:name="_Toc8434898"/>
      <w:bookmarkStart w:id="47" w:name="_Ref8348489"/>
      <w:bookmarkStart w:id="48" w:name="_Ref8348499"/>
      <w:r w:rsidRPr="00E73BEA">
        <w:rPr>
          <w:rFonts w:ascii="Times New Roman" w:hAnsi="Times New Roman" w:cs="Times New Roman"/>
          <w:sz w:val="40"/>
        </w:rPr>
        <w:t>Con</w:t>
      </w:r>
      <w:r w:rsidR="004C73D0" w:rsidRPr="00E73BEA">
        <w:rPr>
          <w:rFonts w:ascii="Times New Roman" w:hAnsi="Times New Roman" w:cs="Times New Roman"/>
          <w:sz w:val="40"/>
        </w:rPr>
        <w:t>clusion</w:t>
      </w:r>
      <w:bookmarkEnd w:id="46"/>
      <w:r w:rsidR="008A7670" w:rsidRPr="00E73BEA">
        <w:rPr>
          <w:rFonts w:ascii="Times New Roman" w:hAnsi="Times New Roman" w:cs="Times New Roman"/>
          <w:sz w:val="40"/>
        </w:rPr>
        <w:t xml:space="preserve"> </w:t>
      </w:r>
      <w:bookmarkEnd w:id="39"/>
      <w:bookmarkEnd w:id="40"/>
      <w:bookmarkEnd w:id="41"/>
      <w:bookmarkEnd w:id="42"/>
      <w:bookmarkEnd w:id="43"/>
      <w:bookmarkEnd w:id="44"/>
      <w:bookmarkEnd w:id="45"/>
      <w:bookmarkEnd w:id="47"/>
      <w:bookmarkEnd w:id="48"/>
    </w:p>
    <w:p w14:paraId="07ECB7E6" w14:textId="77777777" w:rsidR="006B568E" w:rsidRPr="003D4CD1" w:rsidRDefault="006B568E" w:rsidP="00CA3FB5">
      <w:pPr>
        <w:spacing w:line="360" w:lineRule="auto"/>
        <w:jc w:val="both"/>
      </w:pPr>
    </w:p>
    <w:p w14:paraId="56F40FC1" w14:textId="77777777" w:rsidR="00B512FD" w:rsidRPr="00B512FD" w:rsidRDefault="00B512FD" w:rsidP="00B512FD">
      <w:pPr>
        <w:spacing w:line="360" w:lineRule="auto"/>
        <w:ind w:firstLine="720"/>
        <w:jc w:val="both"/>
        <w:rPr>
          <w:sz w:val="28"/>
        </w:rPr>
      </w:pPr>
      <w:r w:rsidRPr="00B512FD">
        <w:rPr>
          <w:sz w:val="28"/>
        </w:rPr>
        <w:t>It is observed that inequality has an interest in economists because of its effect on many macroeconomic variables. Considering the effect of inequality on economic variables; is the question of how the effect of one of the most curious issues on economic growth will be. Economic growth is widely debated and is at the core of its policy objectives. Therefore, it can be said that the determination of the effects of inequality on economic growth is of great importance in terms of the decisions taken in the policies of the state.</w:t>
      </w:r>
    </w:p>
    <w:p w14:paraId="6C0D38BA" w14:textId="77777777" w:rsidR="00B512FD" w:rsidRPr="00B512FD" w:rsidRDefault="00B512FD" w:rsidP="00B512FD">
      <w:pPr>
        <w:spacing w:line="360" w:lineRule="auto"/>
        <w:ind w:firstLine="720"/>
        <w:jc w:val="both"/>
        <w:rPr>
          <w:sz w:val="28"/>
        </w:rPr>
      </w:pPr>
    </w:p>
    <w:p w14:paraId="52461AB3" w14:textId="02042CC6" w:rsidR="00B512FD" w:rsidRDefault="00B512FD" w:rsidP="00B512FD">
      <w:pPr>
        <w:spacing w:line="360" w:lineRule="auto"/>
        <w:ind w:firstLine="720"/>
        <w:jc w:val="both"/>
        <w:rPr>
          <w:sz w:val="28"/>
        </w:rPr>
      </w:pPr>
      <w:r w:rsidRPr="00B512FD">
        <w:rPr>
          <w:sz w:val="28"/>
        </w:rPr>
        <w:t xml:space="preserve">There is much thought about how to change the effect of inequality on economic </w:t>
      </w:r>
      <w:r w:rsidR="00C90902">
        <w:rPr>
          <w:sz w:val="28"/>
        </w:rPr>
        <w:t>growth</w:t>
      </w:r>
      <w:r w:rsidRPr="00B512FD">
        <w:rPr>
          <w:sz w:val="28"/>
        </w:rPr>
        <w:t xml:space="preserve">. Some economists have said that this relationship has changed negatively or positively and has nothing to do with the others. According to the information obtained from some theoretical approaches in the study, income inequality had a great impact on economic </w:t>
      </w:r>
      <w:r w:rsidR="00C90902">
        <w:rPr>
          <w:sz w:val="28"/>
        </w:rPr>
        <w:t>growth</w:t>
      </w:r>
      <w:r w:rsidRPr="00B512FD">
        <w:rPr>
          <w:sz w:val="28"/>
        </w:rPr>
        <w:t>. It has been investigated how these approaches affect the growth and decline of economic</w:t>
      </w:r>
      <w:r w:rsidR="00C90902" w:rsidRPr="00C90902">
        <w:rPr>
          <w:sz w:val="28"/>
        </w:rPr>
        <w:t xml:space="preserve"> </w:t>
      </w:r>
      <w:r w:rsidR="00C90902">
        <w:rPr>
          <w:sz w:val="28"/>
        </w:rPr>
        <w:t>growth</w:t>
      </w:r>
      <w:r w:rsidR="00C90902" w:rsidRPr="00B512FD">
        <w:rPr>
          <w:sz w:val="28"/>
        </w:rPr>
        <w:t xml:space="preserve"> </w:t>
      </w:r>
      <w:r w:rsidRPr="00B512FD">
        <w:rPr>
          <w:sz w:val="28"/>
        </w:rPr>
        <w:t>in the future and today. And in every theoretical approach, some ideas have been put forward to minimize the negative effects of adverse effects in the short term.</w:t>
      </w:r>
    </w:p>
    <w:p w14:paraId="45FDFCFB" w14:textId="77777777" w:rsidR="00C90902" w:rsidRDefault="00C90902" w:rsidP="00B512FD">
      <w:pPr>
        <w:spacing w:line="360" w:lineRule="auto"/>
        <w:ind w:firstLine="720"/>
        <w:jc w:val="both"/>
        <w:rPr>
          <w:sz w:val="28"/>
        </w:rPr>
      </w:pPr>
    </w:p>
    <w:p w14:paraId="250E28A5" w14:textId="5291FF5A" w:rsidR="00C90902" w:rsidRDefault="00C90902" w:rsidP="00B512FD">
      <w:pPr>
        <w:spacing w:line="360" w:lineRule="auto"/>
        <w:ind w:firstLine="720"/>
        <w:jc w:val="both"/>
        <w:rPr>
          <w:sz w:val="28"/>
        </w:rPr>
      </w:pPr>
      <w:r w:rsidRPr="00C90902">
        <w:rPr>
          <w:sz w:val="28"/>
        </w:rPr>
        <w:t>Inequality can have various dimensions. Economists are mainly concerned with the dimensions of inequality in income and consumption. We can include inequality in skills, education, opportunities, happiness, health, life-years, welfare and assets among other dimensions of non-income inequality.</w:t>
      </w:r>
    </w:p>
    <w:p w14:paraId="3BDF087E" w14:textId="77777777" w:rsidR="00C90902" w:rsidRPr="00B512FD" w:rsidRDefault="00C90902" w:rsidP="00B512FD">
      <w:pPr>
        <w:spacing w:line="360" w:lineRule="auto"/>
        <w:ind w:firstLine="720"/>
        <w:jc w:val="both"/>
        <w:rPr>
          <w:sz w:val="28"/>
        </w:rPr>
      </w:pPr>
    </w:p>
    <w:p w14:paraId="7BEDDDAE" w14:textId="4369F6D9" w:rsidR="00B512FD" w:rsidRDefault="00C90902" w:rsidP="00C90902">
      <w:pPr>
        <w:spacing w:line="360" w:lineRule="auto"/>
        <w:ind w:firstLine="720"/>
        <w:jc w:val="both"/>
        <w:rPr>
          <w:sz w:val="28"/>
        </w:rPr>
      </w:pPr>
      <w:r w:rsidRPr="00C90902">
        <w:rPr>
          <w:sz w:val="28"/>
        </w:rPr>
        <w:t xml:space="preserve">Furthermore, in this study, some methods have been analyzed to measure the effect of inequality on economic </w:t>
      </w:r>
      <w:r>
        <w:rPr>
          <w:sz w:val="28"/>
        </w:rPr>
        <w:t>growth.</w:t>
      </w:r>
      <w:r w:rsidRPr="00C90902">
        <w:t xml:space="preserve"> </w:t>
      </w:r>
      <w:r w:rsidRPr="00C90902">
        <w:rPr>
          <w:sz w:val="28"/>
        </w:rPr>
        <w:t>Several indices of inequality can be derived from the diagram of Lorenz. A certain index of inequality measures the divergence of a Lorenz curve for perfect equality and the Lorenz curve for a given distribution. Several indices of inequality follow along with certain basic properties that would be expected to satisfy the indices. These properties should be used in their evaluation of ranking, relevance and performance. The Gini coefficient is the most widely used index of inequality. In order to accommodate different aversions to inequality, Gini is generalized.</w:t>
      </w:r>
    </w:p>
    <w:p w14:paraId="2BE97E89" w14:textId="77777777" w:rsidR="003713BF" w:rsidRDefault="003713BF" w:rsidP="003713BF">
      <w:pPr>
        <w:spacing w:line="360" w:lineRule="auto"/>
        <w:ind w:firstLine="720"/>
        <w:jc w:val="both"/>
      </w:pPr>
    </w:p>
    <w:p w14:paraId="37A81E65" w14:textId="77777777" w:rsidR="003713BF" w:rsidRPr="003713BF" w:rsidRDefault="003713BF" w:rsidP="003713BF">
      <w:pPr>
        <w:spacing w:line="360" w:lineRule="auto"/>
        <w:ind w:firstLine="720"/>
        <w:jc w:val="both"/>
        <w:rPr>
          <w:sz w:val="28"/>
        </w:rPr>
      </w:pPr>
      <w:r w:rsidRPr="003713BF">
        <w:rPr>
          <w:sz w:val="28"/>
        </w:rPr>
        <w:t>Inequality of income can be decomposed at various aggregation levels. It can be broken down into in-subgroup, between subgroups, and overlapping components at the national level. Similarly, it can be decomposed into in-country, inter-country, and overlapping components at the international level. It is desirable in measuring world income inequality that the unit of analysis is the world's citizens rather than countries. It is preferable to have individual microdata based representative.</w:t>
      </w:r>
    </w:p>
    <w:p w14:paraId="47A2CD40" w14:textId="77777777" w:rsidR="003713BF" w:rsidRPr="003713BF" w:rsidRDefault="003713BF" w:rsidP="003713BF">
      <w:pPr>
        <w:spacing w:line="360" w:lineRule="auto"/>
        <w:ind w:firstLine="720"/>
        <w:jc w:val="both"/>
        <w:rPr>
          <w:sz w:val="28"/>
        </w:rPr>
      </w:pPr>
    </w:p>
    <w:p w14:paraId="31B6BA06" w14:textId="4BA8F1CE" w:rsidR="003713BF" w:rsidRPr="003713BF" w:rsidRDefault="003713BF" w:rsidP="003713BF">
      <w:pPr>
        <w:spacing w:line="360" w:lineRule="auto"/>
        <w:ind w:firstLine="720"/>
        <w:jc w:val="both"/>
        <w:rPr>
          <w:sz w:val="28"/>
        </w:rPr>
      </w:pPr>
      <w:r w:rsidRPr="003713BF">
        <w:rPr>
          <w:sz w:val="28"/>
        </w:rPr>
        <w:t>The effects of inequality on earnings in non-income factors can be summarized in different ways. Education inequality explains a small fraction of cross-country income inequality differences. The impact decreases by the level of education and depends on production technologies ' economic development and skill-intensive nature. It also adversely affects the rate of investment and the rate of income growth. There is no direct connection between income inequality and ill health measured as mortality, but a variety of mechanisms and social arrangements indicate an indirect connection. In contrast to income inequality, health inequality is a dominant source of inequality within the country. Regions differ in terms of the effects of inequality on happiness; differences in happiness are linked to preferences for equal societies and increased social mobility.</w:t>
      </w:r>
    </w:p>
    <w:p w14:paraId="6F5E6660" w14:textId="77777777" w:rsidR="00B512FD" w:rsidRPr="00B512FD" w:rsidRDefault="00B512FD" w:rsidP="00B512FD">
      <w:pPr>
        <w:spacing w:line="360" w:lineRule="auto"/>
        <w:ind w:firstLine="720"/>
        <w:jc w:val="both"/>
        <w:rPr>
          <w:sz w:val="28"/>
        </w:rPr>
      </w:pPr>
    </w:p>
    <w:p w14:paraId="138A6EFB" w14:textId="77777777" w:rsidR="00B512FD" w:rsidRPr="00B512FD" w:rsidRDefault="00B512FD" w:rsidP="00B512FD">
      <w:pPr>
        <w:spacing w:line="360" w:lineRule="auto"/>
        <w:ind w:firstLine="720"/>
        <w:jc w:val="both"/>
        <w:rPr>
          <w:sz w:val="28"/>
        </w:rPr>
      </w:pPr>
      <w:r w:rsidRPr="00B512FD">
        <w:rPr>
          <w:sz w:val="28"/>
        </w:rPr>
        <w:t>In the study, there is evidence that the relationship between income inequality and economic growth varies depending on the income level of the countries included in the analysis. According to the general findings of the study; In the low and low middle-income countries, the relationship between income inequality and economic growth is positive while the relationship between two variables is obtained as negative in upper-middle and high-income countries. When the findings are interpreted as a whole; it can be said that income inequality affects economic growth firstly and negatively affects the development stage in the future.</w:t>
      </w:r>
    </w:p>
    <w:p w14:paraId="40D061A2" w14:textId="77777777" w:rsidR="00B512FD" w:rsidRPr="00B512FD" w:rsidRDefault="00B512FD" w:rsidP="00B512FD">
      <w:pPr>
        <w:spacing w:line="360" w:lineRule="auto"/>
        <w:ind w:firstLine="720"/>
        <w:jc w:val="both"/>
        <w:rPr>
          <w:sz w:val="28"/>
        </w:rPr>
      </w:pPr>
    </w:p>
    <w:p w14:paraId="153E6483" w14:textId="77777777" w:rsidR="00B512FD" w:rsidRDefault="00B512FD" w:rsidP="00B512FD">
      <w:pPr>
        <w:spacing w:line="360" w:lineRule="auto"/>
        <w:ind w:firstLine="720"/>
        <w:jc w:val="both"/>
        <w:rPr>
          <w:sz w:val="28"/>
        </w:rPr>
      </w:pPr>
      <w:r w:rsidRPr="00B512FD">
        <w:rPr>
          <w:sz w:val="28"/>
        </w:rPr>
        <w:t>The scarcity of physical capital in countries with low levels of income is seen as one of the main reasons that income inequality affects economic growth positively. The high marginal savings tendency of rich individuals, as envisaged by the classical approach, will increase capital accumulation. Therefore, the increase in income inequality will affect economic growth positively. On the other hand, it is possible to explain the negative relation obtained in high-income countries with many modern approach channels and combined approach.</w:t>
      </w:r>
    </w:p>
    <w:p w14:paraId="4D5DEB98" w14:textId="77777777" w:rsidR="004230D0" w:rsidRDefault="004230D0" w:rsidP="00B512FD">
      <w:pPr>
        <w:spacing w:line="360" w:lineRule="auto"/>
        <w:ind w:firstLine="720"/>
        <w:jc w:val="both"/>
        <w:rPr>
          <w:sz w:val="28"/>
        </w:rPr>
      </w:pPr>
    </w:p>
    <w:p w14:paraId="272413EA" w14:textId="54C84919" w:rsidR="004230D0" w:rsidRPr="00B512FD" w:rsidRDefault="004230D0" w:rsidP="00B512FD">
      <w:pPr>
        <w:spacing w:line="360" w:lineRule="auto"/>
        <w:ind w:firstLine="720"/>
        <w:jc w:val="both"/>
        <w:rPr>
          <w:sz w:val="28"/>
        </w:rPr>
      </w:pPr>
      <w:r w:rsidRPr="004230D0">
        <w:rPr>
          <w:sz w:val="28"/>
        </w:rPr>
        <w:t>In addition, research has shown an econometric model that measures the relationship between economic development and the Gini coefficient. In this model, some models of low- and low-income and high-middle and high-income countries were selected. In these models, 1 per cent change in economic development is explained how the Gini coefficient effects. As a result of the calculations, it has been shown that the increase in economic development has a positive impact on the Gini coefficient, which is inversely proportional to it. This shows that the Gini coefficient decreased during GDP growth.</w:t>
      </w:r>
    </w:p>
    <w:p w14:paraId="15A2B535" w14:textId="77777777" w:rsidR="00B512FD" w:rsidRPr="00B512FD" w:rsidRDefault="00B512FD" w:rsidP="00B512FD">
      <w:pPr>
        <w:spacing w:line="360" w:lineRule="auto"/>
        <w:ind w:firstLine="720"/>
        <w:jc w:val="both"/>
        <w:rPr>
          <w:sz w:val="28"/>
        </w:rPr>
      </w:pPr>
    </w:p>
    <w:p w14:paraId="02AB7A03" w14:textId="1E0E6DE6" w:rsidR="00011834" w:rsidRDefault="00B512FD" w:rsidP="00B512FD">
      <w:pPr>
        <w:spacing w:line="360" w:lineRule="auto"/>
        <w:ind w:firstLine="720"/>
        <w:jc w:val="both"/>
        <w:rPr>
          <w:sz w:val="28"/>
        </w:rPr>
      </w:pPr>
      <w:r w:rsidRPr="00B512FD">
        <w:rPr>
          <w:sz w:val="28"/>
        </w:rPr>
        <w:t>According to the findings, especially in high-income countries, the state should see the inequality of access to education caused by income inequality as a problem to be solved and to take the necessary measures in order to achieve economic growth. In low-income countries, state effective redistribution policies should ensure that more individuals participate in high-yielding investment projects and remove barriers to economic growth.</w:t>
      </w:r>
    </w:p>
    <w:p w14:paraId="13421C77" w14:textId="77777777" w:rsidR="000E18D9" w:rsidRDefault="000E18D9" w:rsidP="000E18D9">
      <w:pPr>
        <w:spacing w:line="360" w:lineRule="auto"/>
        <w:ind w:firstLine="720"/>
        <w:jc w:val="both"/>
        <w:rPr>
          <w:sz w:val="28"/>
        </w:rPr>
      </w:pPr>
    </w:p>
    <w:p w14:paraId="33D45980" w14:textId="747A4F53" w:rsidR="000E18D9" w:rsidRPr="000E18D9" w:rsidRDefault="000E18D9" w:rsidP="00CA3FB5">
      <w:pPr>
        <w:spacing w:line="360" w:lineRule="auto"/>
        <w:jc w:val="both"/>
        <w:rPr>
          <w:sz w:val="28"/>
        </w:rPr>
      </w:pPr>
      <w:r>
        <w:rPr>
          <w:sz w:val="28"/>
        </w:rPr>
        <w:tab/>
      </w:r>
    </w:p>
    <w:p w14:paraId="0AA1F138" w14:textId="77777777" w:rsidR="007A0738" w:rsidRDefault="007A0738" w:rsidP="00CA3FB5">
      <w:pPr>
        <w:spacing w:line="360" w:lineRule="auto"/>
        <w:jc w:val="both"/>
        <w:rPr>
          <w:sz w:val="28"/>
        </w:rPr>
      </w:pPr>
    </w:p>
    <w:p w14:paraId="487991A7" w14:textId="77777777" w:rsidR="000E18D9" w:rsidRDefault="000E18D9" w:rsidP="00CA3FB5">
      <w:pPr>
        <w:spacing w:line="360" w:lineRule="auto"/>
        <w:jc w:val="both"/>
        <w:rPr>
          <w:sz w:val="28"/>
        </w:rPr>
      </w:pPr>
    </w:p>
    <w:p w14:paraId="7AD57EAB" w14:textId="77777777" w:rsidR="000E18D9" w:rsidRDefault="000E18D9" w:rsidP="00CA3FB5">
      <w:pPr>
        <w:spacing w:line="360" w:lineRule="auto"/>
        <w:jc w:val="both"/>
        <w:rPr>
          <w:sz w:val="28"/>
        </w:rPr>
      </w:pPr>
    </w:p>
    <w:p w14:paraId="6B695F81" w14:textId="77777777" w:rsidR="000E18D9" w:rsidRDefault="000E18D9" w:rsidP="00CA3FB5">
      <w:pPr>
        <w:spacing w:line="360" w:lineRule="auto"/>
        <w:jc w:val="both"/>
        <w:rPr>
          <w:sz w:val="28"/>
        </w:rPr>
      </w:pPr>
    </w:p>
    <w:p w14:paraId="4481BB98" w14:textId="77777777" w:rsidR="000E18D9" w:rsidRDefault="000E18D9" w:rsidP="00CA3FB5">
      <w:pPr>
        <w:spacing w:line="360" w:lineRule="auto"/>
        <w:jc w:val="both"/>
        <w:rPr>
          <w:sz w:val="28"/>
        </w:rPr>
      </w:pPr>
    </w:p>
    <w:p w14:paraId="40068711" w14:textId="77777777" w:rsidR="000E18D9" w:rsidRDefault="000E18D9" w:rsidP="00CA3FB5">
      <w:pPr>
        <w:spacing w:line="360" w:lineRule="auto"/>
        <w:jc w:val="both"/>
        <w:rPr>
          <w:sz w:val="28"/>
        </w:rPr>
      </w:pPr>
    </w:p>
    <w:p w14:paraId="557870A4" w14:textId="77777777" w:rsidR="000E18D9" w:rsidRDefault="000E18D9" w:rsidP="00CA3FB5">
      <w:pPr>
        <w:spacing w:line="360" w:lineRule="auto"/>
        <w:jc w:val="both"/>
        <w:rPr>
          <w:sz w:val="28"/>
        </w:rPr>
      </w:pPr>
    </w:p>
    <w:p w14:paraId="088618C6" w14:textId="77777777" w:rsidR="000E18D9" w:rsidRDefault="000E18D9" w:rsidP="00CA3FB5">
      <w:pPr>
        <w:spacing w:line="360" w:lineRule="auto"/>
        <w:jc w:val="both"/>
        <w:rPr>
          <w:sz w:val="28"/>
        </w:rPr>
      </w:pPr>
    </w:p>
    <w:p w14:paraId="1B712B90" w14:textId="77777777" w:rsidR="000E18D9" w:rsidRDefault="000E18D9" w:rsidP="00CA3FB5">
      <w:pPr>
        <w:spacing w:line="360" w:lineRule="auto"/>
        <w:jc w:val="both"/>
        <w:rPr>
          <w:sz w:val="28"/>
        </w:rPr>
      </w:pPr>
    </w:p>
    <w:p w14:paraId="22A922A5" w14:textId="77777777" w:rsidR="004230D0" w:rsidRDefault="004230D0" w:rsidP="00CA3FB5">
      <w:pPr>
        <w:spacing w:line="360" w:lineRule="auto"/>
        <w:jc w:val="both"/>
        <w:rPr>
          <w:sz w:val="28"/>
        </w:rPr>
      </w:pPr>
    </w:p>
    <w:p w14:paraId="4DA2D042" w14:textId="77777777" w:rsidR="004230D0" w:rsidRDefault="004230D0" w:rsidP="00CA3FB5">
      <w:pPr>
        <w:spacing w:line="360" w:lineRule="auto"/>
        <w:jc w:val="both"/>
        <w:rPr>
          <w:sz w:val="28"/>
        </w:rPr>
      </w:pPr>
    </w:p>
    <w:p w14:paraId="7A1C5647" w14:textId="77777777" w:rsidR="004230D0" w:rsidRDefault="004230D0" w:rsidP="00CA3FB5">
      <w:pPr>
        <w:spacing w:line="360" w:lineRule="auto"/>
        <w:jc w:val="both"/>
        <w:rPr>
          <w:sz w:val="28"/>
        </w:rPr>
      </w:pPr>
    </w:p>
    <w:p w14:paraId="2C26EDFC" w14:textId="77777777" w:rsidR="004230D0" w:rsidRDefault="004230D0" w:rsidP="00CA3FB5">
      <w:pPr>
        <w:spacing w:line="360" w:lineRule="auto"/>
        <w:jc w:val="both"/>
        <w:rPr>
          <w:sz w:val="28"/>
        </w:rPr>
      </w:pPr>
    </w:p>
    <w:p w14:paraId="6C84B0B0" w14:textId="77777777" w:rsidR="004230D0" w:rsidRDefault="004230D0" w:rsidP="00CA3FB5">
      <w:pPr>
        <w:spacing w:line="360" w:lineRule="auto"/>
        <w:jc w:val="both"/>
        <w:rPr>
          <w:sz w:val="28"/>
        </w:rPr>
      </w:pPr>
    </w:p>
    <w:p w14:paraId="397B4F77" w14:textId="77777777" w:rsidR="004230D0" w:rsidRDefault="004230D0" w:rsidP="00CA3FB5">
      <w:pPr>
        <w:spacing w:line="360" w:lineRule="auto"/>
        <w:jc w:val="both"/>
        <w:rPr>
          <w:sz w:val="28"/>
        </w:rPr>
      </w:pPr>
    </w:p>
    <w:p w14:paraId="4AA467EA" w14:textId="77777777" w:rsidR="004230D0" w:rsidRDefault="004230D0" w:rsidP="00CA3FB5">
      <w:pPr>
        <w:spacing w:line="360" w:lineRule="auto"/>
        <w:jc w:val="both"/>
        <w:rPr>
          <w:sz w:val="28"/>
        </w:rPr>
      </w:pPr>
    </w:p>
    <w:p w14:paraId="20335420" w14:textId="77777777" w:rsidR="004230D0" w:rsidRDefault="004230D0" w:rsidP="00CA3FB5">
      <w:pPr>
        <w:spacing w:line="360" w:lineRule="auto"/>
        <w:jc w:val="both"/>
        <w:rPr>
          <w:sz w:val="28"/>
        </w:rPr>
      </w:pPr>
    </w:p>
    <w:p w14:paraId="6C2F1A7A" w14:textId="77777777" w:rsidR="004230D0" w:rsidRDefault="004230D0" w:rsidP="00CA3FB5">
      <w:pPr>
        <w:spacing w:line="360" w:lineRule="auto"/>
        <w:jc w:val="both"/>
        <w:rPr>
          <w:sz w:val="28"/>
        </w:rPr>
      </w:pPr>
    </w:p>
    <w:p w14:paraId="6617A5C4" w14:textId="77777777" w:rsidR="004230D0" w:rsidRDefault="004230D0" w:rsidP="00CA3FB5">
      <w:pPr>
        <w:spacing w:line="360" w:lineRule="auto"/>
        <w:jc w:val="both"/>
        <w:rPr>
          <w:sz w:val="28"/>
        </w:rPr>
      </w:pPr>
    </w:p>
    <w:p w14:paraId="343F3C2D" w14:textId="77777777" w:rsidR="004230D0" w:rsidRDefault="004230D0" w:rsidP="00CA3FB5">
      <w:pPr>
        <w:spacing w:line="360" w:lineRule="auto"/>
        <w:jc w:val="both"/>
        <w:rPr>
          <w:sz w:val="28"/>
        </w:rPr>
      </w:pPr>
    </w:p>
    <w:p w14:paraId="78F45A5E" w14:textId="77777777" w:rsidR="004230D0" w:rsidRDefault="004230D0" w:rsidP="00CA3FB5">
      <w:pPr>
        <w:spacing w:line="360" w:lineRule="auto"/>
        <w:jc w:val="both"/>
        <w:rPr>
          <w:sz w:val="28"/>
        </w:rPr>
      </w:pPr>
    </w:p>
    <w:p w14:paraId="513BC80D" w14:textId="77777777" w:rsidR="004230D0" w:rsidRDefault="004230D0" w:rsidP="00CA3FB5">
      <w:pPr>
        <w:spacing w:line="360" w:lineRule="auto"/>
        <w:jc w:val="both"/>
        <w:rPr>
          <w:sz w:val="28"/>
        </w:rPr>
      </w:pPr>
    </w:p>
    <w:p w14:paraId="1AB8BAF4" w14:textId="77777777" w:rsidR="000E18D9" w:rsidRDefault="000E18D9" w:rsidP="00CA3FB5">
      <w:pPr>
        <w:spacing w:line="360" w:lineRule="auto"/>
        <w:jc w:val="both"/>
        <w:rPr>
          <w:sz w:val="28"/>
        </w:rPr>
      </w:pPr>
    </w:p>
    <w:p w14:paraId="204CCEB7" w14:textId="398F65AF" w:rsidR="004820A2" w:rsidRDefault="00657E94" w:rsidP="004820A2">
      <w:pPr>
        <w:pStyle w:val="Heading1"/>
        <w:spacing w:line="360" w:lineRule="auto"/>
        <w:rPr>
          <w:rFonts w:ascii="Times New Roman" w:hAnsi="Times New Roman" w:cs="Times New Roman"/>
          <w:sz w:val="40"/>
          <w:szCs w:val="28"/>
        </w:rPr>
      </w:pPr>
      <w:bookmarkStart w:id="49" w:name="_Toc233776949"/>
      <w:bookmarkStart w:id="50" w:name="_Toc235604384"/>
      <w:bookmarkStart w:id="51" w:name="_Toc235618242"/>
      <w:bookmarkStart w:id="52" w:name="_Toc235618360"/>
      <w:bookmarkStart w:id="53" w:name="_Toc235619242"/>
      <w:bookmarkStart w:id="54" w:name="_Toc235619783"/>
      <w:bookmarkStart w:id="55" w:name="_Toc303675979"/>
      <w:bookmarkStart w:id="56" w:name="_Toc8434899"/>
      <w:r w:rsidRPr="004820A2">
        <w:rPr>
          <w:rFonts w:ascii="Times New Roman" w:hAnsi="Times New Roman" w:cs="Times New Roman"/>
          <w:sz w:val="40"/>
          <w:szCs w:val="28"/>
        </w:rPr>
        <w:t>Bibliography</w:t>
      </w:r>
      <w:bookmarkEnd w:id="11"/>
      <w:bookmarkEnd w:id="49"/>
      <w:bookmarkEnd w:id="50"/>
      <w:bookmarkEnd w:id="51"/>
      <w:bookmarkEnd w:id="52"/>
      <w:bookmarkEnd w:id="53"/>
      <w:bookmarkEnd w:id="54"/>
      <w:bookmarkEnd w:id="55"/>
      <w:bookmarkEnd w:id="56"/>
    </w:p>
    <w:p w14:paraId="79E66922" w14:textId="77777777" w:rsidR="000E18D9" w:rsidRDefault="000E18D9" w:rsidP="000E18D9"/>
    <w:p w14:paraId="48C23198" w14:textId="77777777" w:rsidR="000E18D9" w:rsidRPr="000E18D9" w:rsidRDefault="000E18D9" w:rsidP="000E18D9"/>
    <w:p w14:paraId="3C1C49B4" w14:textId="77777777" w:rsidR="000E18D9" w:rsidRPr="000E18D9" w:rsidRDefault="000E18D9" w:rsidP="000E18D9"/>
    <w:p w14:paraId="55A767B8" w14:textId="2B644EB6" w:rsidR="007A0738" w:rsidRPr="007A0738" w:rsidRDefault="007A0738" w:rsidP="00CA5D3C">
      <w:pPr>
        <w:pStyle w:val="ListParagraph"/>
        <w:numPr>
          <w:ilvl w:val="0"/>
          <w:numId w:val="15"/>
        </w:numPr>
        <w:spacing w:line="360" w:lineRule="auto"/>
        <w:jc w:val="both"/>
        <w:rPr>
          <w:rFonts w:ascii="Times New Roman" w:hAnsi="Times New Roman"/>
          <w:sz w:val="28"/>
          <w:szCs w:val="28"/>
        </w:rPr>
      </w:pPr>
      <w:r w:rsidRPr="007A0738">
        <w:rPr>
          <w:rFonts w:ascii="Times New Roman" w:hAnsi="Times New Roman"/>
          <w:sz w:val="28"/>
          <w:szCs w:val="28"/>
          <w:lang w:val="en-US"/>
        </w:rPr>
        <w:t xml:space="preserve">Aghion, P., Bolton, P. (1997). A Theory Of Trickle-Down Growth and Development. </w:t>
      </w:r>
      <w:r w:rsidRPr="007A0738">
        <w:rPr>
          <w:rFonts w:ascii="Times New Roman" w:hAnsi="Times New Roman"/>
          <w:i/>
          <w:iCs/>
          <w:sz w:val="28"/>
          <w:szCs w:val="28"/>
          <w:lang w:val="ru-RU"/>
        </w:rPr>
        <w:t>The Review of</w:t>
      </w:r>
      <w:r w:rsidRPr="007A0738">
        <w:rPr>
          <w:rFonts w:ascii="Times New Roman" w:hAnsi="Times New Roman"/>
          <w:sz w:val="28"/>
          <w:szCs w:val="28"/>
          <w:lang w:val="ru-RU"/>
        </w:rPr>
        <w:t xml:space="preserve"> </w:t>
      </w:r>
      <w:r w:rsidRPr="007A0738">
        <w:rPr>
          <w:rFonts w:ascii="Times New Roman" w:hAnsi="Times New Roman"/>
          <w:i/>
          <w:iCs/>
          <w:sz w:val="28"/>
          <w:szCs w:val="28"/>
          <w:lang w:val="ru-RU"/>
        </w:rPr>
        <w:t>Economic Studies</w:t>
      </w:r>
      <w:r w:rsidRPr="007A0738">
        <w:rPr>
          <w:rFonts w:ascii="Times New Roman" w:hAnsi="Times New Roman"/>
          <w:sz w:val="28"/>
          <w:szCs w:val="28"/>
          <w:lang w:val="ru-RU"/>
        </w:rPr>
        <w:t>,</w:t>
      </w:r>
      <w:r w:rsidRPr="007A0738">
        <w:rPr>
          <w:rFonts w:ascii="Times New Roman" w:hAnsi="Times New Roman"/>
          <w:i/>
          <w:iCs/>
          <w:sz w:val="28"/>
          <w:szCs w:val="28"/>
          <w:lang w:val="ru-RU"/>
        </w:rPr>
        <w:t xml:space="preserve"> 64</w:t>
      </w:r>
      <w:r w:rsidRPr="007A0738">
        <w:rPr>
          <w:rFonts w:ascii="Times New Roman" w:hAnsi="Times New Roman"/>
          <w:sz w:val="28"/>
          <w:szCs w:val="28"/>
          <w:lang w:val="ru-RU"/>
        </w:rPr>
        <w:t>(2), 151-172.</w:t>
      </w:r>
    </w:p>
    <w:p w14:paraId="422C6061" w14:textId="6E557279" w:rsidR="007A0738" w:rsidRPr="007A0738" w:rsidRDefault="007A0738" w:rsidP="00CA5D3C">
      <w:pPr>
        <w:pStyle w:val="ListParagraph"/>
        <w:numPr>
          <w:ilvl w:val="0"/>
          <w:numId w:val="15"/>
        </w:numPr>
        <w:spacing w:line="360" w:lineRule="auto"/>
        <w:jc w:val="both"/>
        <w:rPr>
          <w:rFonts w:ascii="Times New Roman" w:hAnsi="Times New Roman"/>
          <w:sz w:val="28"/>
          <w:szCs w:val="28"/>
        </w:rPr>
      </w:pPr>
      <w:r w:rsidRPr="007A0738">
        <w:rPr>
          <w:rFonts w:ascii="Times New Roman" w:hAnsi="Times New Roman"/>
          <w:sz w:val="28"/>
          <w:szCs w:val="28"/>
          <w:lang w:val="az-Latn-AZ"/>
        </w:rPr>
        <w:t xml:space="preserve">Alesina, A., Perotti, R. (1996). Income Distribution, Political İnstability and İnvestment. </w:t>
      </w:r>
      <w:r w:rsidRPr="007A0738">
        <w:rPr>
          <w:rFonts w:ascii="Times New Roman" w:hAnsi="Times New Roman"/>
          <w:i/>
          <w:iCs/>
          <w:sz w:val="28"/>
          <w:szCs w:val="28"/>
          <w:lang w:val="ru-RU"/>
        </w:rPr>
        <w:t>European eco-nomic review</w:t>
      </w:r>
      <w:r w:rsidRPr="007A0738">
        <w:rPr>
          <w:rFonts w:ascii="Times New Roman" w:hAnsi="Times New Roman"/>
          <w:sz w:val="28"/>
          <w:szCs w:val="28"/>
          <w:lang w:val="ru-RU"/>
        </w:rPr>
        <w:t>,</w:t>
      </w:r>
      <w:r w:rsidRPr="007A0738">
        <w:rPr>
          <w:rFonts w:ascii="Times New Roman" w:hAnsi="Times New Roman"/>
          <w:i/>
          <w:iCs/>
          <w:sz w:val="28"/>
          <w:szCs w:val="28"/>
          <w:lang w:val="ru-RU"/>
        </w:rPr>
        <w:t xml:space="preserve"> 40</w:t>
      </w:r>
      <w:r w:rsidRPr="007A0738">
        <w:rPr>
          <w:rFonts w:ascii="Times New Roman" w:hAnsi="Times New Roman"/>
          <w:sz w:val="28"/>
          <w:szCs w:val="28"/>
          <w:lang w:val="ru-RU"/>
        </w:rPr>
        <w:t>(6), 1203-1228.</w:t>
      </w:r>
    </w:p>
    <w:p w14:paraId="5F156E30" w14:textId="7C05639C" w:rsidR="007A0738" w:rsidRPr="007A0738" w:rsidRDefault="007A0738" w:rsidP="007A0738">
      <w:pPr>
        <w:pStyle w:val="ListParagraph"/>
        <w:numPr>
          <w:ilvl w:val="0"/>
          <w:numId w:val="15"/>
        </w:numPr>
        <w:spacing w:line="360" w:lineRule="auto"/>
        <w:jc w:val="both"/>
        <w:rPr>
          <w:rFonts w:ascii="Times New Roman" w:hAnsi="Times New Roman"/>
          <w:sz w:val="28"/>
          <w:szCs w:val="28"/>
        </w:rPr>
      </w:pPr>
      <w:r w:rsidRPr="007A0738">
        <w:rPr>
          <w:rFonts w:ascii="Times New Roman" w:hAnsi="Times New Roman"/>
          <w:sz w:val="28"/>
          <w:szCs w:val="28"/>
        </w:rPr>
        <w:t>Alesina, A., Rodrik, D. (1994). Distributive Politics and Economic Growth. The Quarterly Journal of Economics, 109(2), 465-490.</w:t>
      </w:r>
    </w:p>
    <w:p w14:paraId="0B7F8E5E" w14:textId="6BD92954" w:rsidR="00303B43" w:rsidRPr="00AB0633" w:rsidRDefault="00CA5D3C" w:rsidP="00AB0633">
      <w:pPr>
        <w:pStyle w:val="ListParagraph"/>
        <w:numPr>
          <w:ilvl w:val="0"/>
          <w:numId w:val="15"/>
        </w:numPr>
        <w:spacing w:line="360" w:lineRule="auto"/>
        <w:jc w:val="both"/>
        <w:rPr>
          <w:rFonts w:ascii="Times New Roman" w:hAnsi="Times New Roman"/>
          <w:sz w:val="28"/>
          <w:szCs w:val="28"/>
        </w:rPr>
      </w:pPr>
      <w:r w:rsidRPr="007A0738">
        <w:rPr>
          <w:rFonts w:ascii="Times New Roman" w:hAnsi="Times New Roman"/>
          <w:sz w:val="28"/>
          <w:szCs w:val="28"/>
        </w:rPr>
        <w:t xml:space="preserve">Bourguignon, F. (1981). Pareto Superiority of Unegalitarian Equilibria In Stiglitz’ Model Of Wealth Distribution With Convex Saving Function. </w:t>
      </w:r>
      <w:r w:rsidRPr="007A0738">
        <w:rPr>
          <w:rFonts w:ascii="Times New Roman" w:hAnsi="Times New Roman"/>
          <w:i/>
          <w:sz w:val="28"/>
          <w:szCs w:val="28"/>
        </w:rPr>
        <w:t>Econometrica: Journal of the Econometric Society</w:t>
      </w:r>
      <w:r w:rsidRPr="007A0738">
        <w:rPr>
          <w:rFonts w:ascii="Times New Roman" w:hAnsi="Times New Roman"/>
          <w:sz w:val="28"/>
          <w:szCs w:val="28"/>
        </w:rPr>
        <w:t>,</w:t>
      </w:r>
      <w:r w:rsidRPr="007A0738">
        <w:rPr>
          <w:rFonts w:ascii="Times New Roman" w:hAnsi="Times New Roman"/>
          <w:i/>
          <w:sz w:val="28"/>
          <w:szCs w:val="28"/>
        </w:rPr>
        <w:t xml:space="preserve"> 49</w:t>
      </w:r>
      <w:r w:rsidRPr="007A0738">
        <w:rPr>
          <w:rFonts w:ascii="Times New Roman" w:hAnsi="Times New Roman"/>
          <w:sz w:val="28"/>
          <w:szCs w:val="28"/>
        </w:rPr>
        <w:t>(6),</w:t>
      </w:r>
      <w:r w:rsidRPr="007A0738">
        <w:rPr>
          <w:rFonts w:ascii="Times New Roman" w:hAnsi="Times New Roman"/>
          <w:i/>
          <w:sz w:val="28"/>
          <w:szCs w:val="28"/>
        </w:rPr>
        <w:t xml:space="preserve"> </w:t>
      </w:r>
      <w:r w:rsidRPr="007A0738">
        <w:rPr>
          <w:rFonts w:ascii="Times New Roman" w:hAnsi="Times New Roman"/>
          <w:sz w:val="28"/>
          <w:szCs w:val="28"/>
        </w:rPr>
        <w:t>1469-1475.</w:t>
      </w:r>
    </w:p>
    <w:p w14:paraId="2DCED385" w14:textId="77777777" w:rsidR="00303B43" w:rsidRPr="007A0738" w:rsidRDefault="00303B43" w:rsidP="00303B43">
      <w:pPr>
        <w:pStyle w:val="ListParagraph"/>
        <w:numPr>
          <w:ilvl w:val="0"/>
          <w:numId w:val="15"/>
        </w:numPr>
        <w:autoSpaceDE w:val="0"/>
        <w:autoSpaceDN w:val="0"/>
        <w:adjustRightInd w:val="0"/>
        <w:spacing w:line="288" w:lineRule="auto"/>
        <w:jc w:val="both"/>
        <w:rPr>
          <w:rFonts w:ascii="Times New Roman" w:hAnsi="Times New Roman"/>
          <w:sz w:val="28"/>
          <w:szCs w:val="28"/>
          <w:lang w:val="ru-RU"/>
        </w:rPr>
      </w:pPr>
      <w:r w:rsidRPr="007A0738">
        <w:rPr>
          <w:rFonts w:ascii="Times New Roman" w:hAnsi="Times New Roman"/>
          <w:sz w:val="28"/>
          <w:szCs w:val="28"/>
          <w:lang w:val="en-US"/>
        </w:rPr>
        <w:t xml:space="preserve">Banerjee, A. V., Newman, A. F. (1993). Occupational Choice and The Process of Development. </w:t>
      </w:r>
      <w:r w:rsidRPr="007A0738">
        <w:rPr>
          <w:rFonts w:ascii="Times New Roman" w:hAnsi="Times New Roman"/>
          <w:i/>
          <w:iCs/>
          <w:sz w:val="28"/>
          <w:szCs w:val="28"/>
          <w:lang w:val="ru-RU"/>
        </w:rPr>
        <w:t>Journal</w:t>
      </w:r>
      <w:r w:rsidRPr="007A0738">
        <w:rPr>
          <w:rFonts w:ascii="Times New Roman" w:hAnsi="Times New Roman"/>
          <w:sz w:val="28"/>
          <w:szCs w:val="28"/>
          <w:lang w:val="ru-RU"/>
        </w:rPr>
        <w:t xml:space="preserve"> </w:t>
      </w:r>
      <w:r w:rsidRPr="007A0738">
        <w:rPr>
          <w:rFonts w:ascii="Times New Roman" w:hAnsi="Times New Roman"/>
          <w:i/>
          <w:iCs/>
          <w:sz w:val="28"/>
          <w:szCs w:val="28"/>
          <w:lang w:val="ru-RU"/>
        </w:rPr>
        <w:t xml:space="preserve">of Political Economy, </w:t>
      </w:r>
      <w:r w:rsidRPr="007A0738">
        <w:rPr>
          <w:rFonts w:ascii="Times New Roman" w:hAnsi="Times New Roman"/>
          <w:sz w:val="28"/>
          <w:szCs w:val="28"/>
          <w:lang w:val="ru-RU"/>
        </w:rPr>
        <w:t>101(2), 274-298.</w:t>
      </w:r>
    </w:p>
    <w:p w14:paraId="50981D70" w14:textId="0DE2E1F0" w:rsidR="00303B43" w:rsidRPr="007A0738" w:rsidRDefault="00303B43" w:rsidP="00CA5D3C">
      <w:pPr>
        <w:pStyle w:val="ListParagraph"/>
        <w:numPr>
          <w:ilvl w:val="0"/>
          <w:numId w:val="15"/>
        </w:numPr>
        <w:spacing w:line="360" w:lineRule="auto"/>
        <w:jc w:val="both"/>
        <w:rPr>
          <w:rFonts w:ascii="Times New Roman" w:hAnsi="Times New Roman"/>
          <w:sz w:val="28"/>
          <w:szCs w:val="28"/>
        </w:rPr>
      </w:pPr>
      <w:r w:rsidRPr="007A0738">
        <w:rPr>
          <w:rFonts w:ascii="Times New Roman" w:hAnsi="Times New Roman"/>
          <w:sz w:val="28"/>
          <w:szCs w:val="28"/>
          <w:lang w:val="en-US"/>
        </w:rPr>
        <w:t xml:space="preserve">Barro, R. J. (2000). Inequality and Growth in A Panel of Countries. </w:t>
      </w:r>
      <w:r w:rsidRPr="007A0738">
        <w:rPr>
          <w:rFonts w:ascii="Times New Roman" w:hAnsi="Times New Roman"/>
          <w:i/>
          <w:iCs/>
          <w:sz w:val="28"/>
          <w:szCs w:val="28"/>
          <w:lang w:val="ru-RU"/>
        </w:rPr>
        <w:t>Journal of economic growth</w:t>
      </w:r>
      <w:r w:rsidRPr="007A0738">
        <w:rPr>
          <w:rFonts w:ascii="Times New Roman" w:hAnsi="Times New Roman"/>
          <w:sz w:val="28"/>
          <w:szCs w:val="28"/>
          <w:lang w:val="ru-RU"/>
        </w:rPr>
        <w:t xml:space="preserve">, </w:t>
      </w:r>
      <w:r w:rsidRPr="007A0738">
        <w:rPr>
          <w:rFonts w:ascii="Times New Roman" w:hAnsi="Times New Roman"/>
          <w:i/>
          <w:iCs/>
          <w:sz w:val="28"/>
          <w:szCs w:val="28"/>
          <w:lang w:val="ru-RU"/>
        </w:rPr>
        <w:t>5</w:t>
      </w:r>
      <w:r w:rsidRPr="007A0738">
        <w:rPr>
          <w:rFonts w:ascii="Times New Roman" w:hAnsi="Times New Roman"/>
          <w:sz w:val="28"/>
          <w:szCs w:val="28"/>
          <w:lang w:val="ru-RU"/>
        </w:rPr>
        <w:t>(1), 5-32.</w:t>
      </w:r>
    </w:p>
    <w:p w14:paraId="3DE22E89" w14:textId="292020D4" w:rsidR="00303B43" w:rsidRPr="007A0738" w:rsidRDefault="00303B43" w:rsidP="00CA5D3C">
      <w:pPr>
        <w:pStyle w:val="ListParagraph"/>
        <w:numPr>
          <w:ilvl w:val="0"/>
          <w:numId w:val="15"/>
        </w:numPr>
        <w:spacing w:line="360" w:lineRule="auto"/>
        <w:jc w:val="both"/>
        <w:rPr>
          <w:rFonts w:ascii="Times New Roman" w:hAnsi="Times New Roman"/>
          <w:sz w:val="28"/>
          <w:szCs w:val="28"/>
        </w:rPr>
      </w:pPr>
      <w:r w:rsidRPr="007A0738">
        <w:rPr>
          <w:rFonts w:ascii="Times New Roman" w:hAnsi="Times New Roman"/>
          <w:sz w:val="28"/>
          <w:szCs w:val="28"/>
          <w:lang w:val="en-US"/>
        </w:rPr>
        <w:t>Galor, O., Zeira, J. (1993). Income Distribution and Macroeconomics</w:t>
      </w:r>
      <w:r w:rsidRPr="007A0738">
        <w:rPr>
          <w:rFonts w:ascii="Times New Roman" w:hAnsi="Times New Roman"/>
          <w:i/>
          <w:iCs/>
          <w:sz w:val="28"/>
          <w:szCs w:val="28"/>
          <w:lang w:val="en-US"/>
        </w:rPr>
        <w:t xml:space="preserve">. </w:t>
      </w:r>
      <w:r w:rsidRPr="007A0738">
        <w:rPr>
          <w:rFonts w:ascii="Times New Roman" w:hAnsi="Times New Roman"/>
          <w:i/>
          <w:iCs/>
          <w:sz w:val="28"/>
          <w:szCs w:val="28"/>
          <w:lang w:val="ru-RU"/>
        </w:rPr>
        <w:t>The Review of Economic Studies</w:t>
      </w:r>
      <w:r w:rsidRPr="007A0738">
        <w:rPr>
          <w:rFonts w:ascii="Times New Roman" w:hAnsi="Times New Roman"/>
          <w:sz w:val="28"/>
          <w:szCs w:val="28"/>
          <w:lang w:val="ru-RU"/>
        </w:rPr>
        <w:t xml:space="preserve">, </w:t>
      </w:r>
      <w:r w:rsidRPr="007A0738">
        <w:rPr>
          <w:rFonts w:ascii="Times New Roman" w:hAnsi="Times New Roman"/>
          <w:i/>
          <w:iCs/>
          <w:sz w:val="28"/>
          <w:szCs w:val="28"/>
          <w:lang w:val="ru-RU"/>
        </w:rPr>
        <w:t>60</w:t>
      </w:r>
      <w:r w:rsidRPr="007A0738">
        <w:rPr>
          <w:rFonts w:ascii="Times New Roman" w:hAnsi="Times New Roman"/>
          <w:sz w:val="28"/>
          <w:szCs w:val="28"/>
          <w:lang w:val="ru-RU"/>
        </w:rPr>
        <w:t>(1), 35-52.</w:t>
      </w:r>
    </w:p>
    <w:p w14:paraId="30A87F55" w14:textId="77777777" w:rsidR="00CA5D3C" w:rsidRPr="007A0738" w:rsidRDefault="00CA5D3C" w:rsidP="00CA5D3C">
      <w:pPr>
        <w:pStyle w:val="ListParagraph"/>
        <w:numPr>
          <w:ilvl w:val="0"/>
          <w:numId w:val="15"/>
        </w:numPr>
        <w:spacing w:line="360" w:lineRule="auto"/>
        <w:jc w:val="both"/>
        <w:rPr>
          <w:rStyle w:val="eop"/>
          <w:rFonts w:ascii="Times New Roman" w:hAnsi="Times New Roman"/>
          <w:i/>
          <w:sz w:val="28"/>
          <w:szCs w:val="28"/>
        </w:rPr>
      </w:pPr>
      <w:r w:rsidRPr="007A0738">
        <w:rPr>
          <w:rStyle w:val="spellingerror"/>
          <w:rFonts w:ascii="Times New Roman" w:hAnsi="Times New Roman"/>
          <w:color w:val="000000"/>
          <w:sz w:val="28"/>
          <w:szCs w:val="28"/>
          <w:shd w:val="clear" w:color="auto" w:fill="FFFFFF"/>
        </w:rPr>
        <w:t>Galor</w:t>
      </w:r>
      <w:r w:rsidRPr="007A0738">
        <w:rPr>
          <w:rStyle w:val="normaltextrun"/>
          <w:rFonts w:ascii="Times New Roman" w:hAnsi="Times New Roman"/>
          <w:color w:val="000000"/>
          <w:sz w:val="28"/>
          <w:szCs w:val="28"/>
          <w:shd w:val="clear" w:color="auto" w:fill="FFFFFF"/>
        </w:rPr>
        <w:t>, O., </w:t>
      </w:r>
      <w:r w:rsidRPr="007A0738">
        <w:rPr>
          <w:rStyle w:val="spellingerror"/>
          <w:rFonts w:ascii="Times New Roman" w:hAnsi="Times New Roman"/>
          <w:color w:val="000000"/>
          <w:sz w:val="28"/>
          <w:szCs w:val="28"/>
          <w:shd w:val="clear" w:color="auto" w:fill="FFFFFF"/>
        </w:rPr>
        <w:t>Moav</w:t>
      </w:r>
      <w:r w:rsidRPr="007A0738">
        <w:rPr>
          <w:rStyle w:val="normaltextrun"/>
          <w:rFonts w:ascii="Times New Roman" w:hAnsi="Times New Roman"/>
          <w:color w:val="000000"/>
          <w:sz w:val="28"/>
          <w:szCs w:val="28"/>
          <w:shd w:val="clear" w:color="auto" w:fill="FFFFFF"/>
        </w:rPr>
        <w:t>, O. (2004). From Physical to Human Capital Accumulation: Inequality and The Process of Development. </w:t>
      </w:r>
      <w:r w:rsidRPr="007A0738">
        <w:rPr>
          <w:rStyle w:val="normaltextrun"/>
          <w:rFonts w:ascii="Times New Roman" w:hAnsi="Times New Roman"/>
          <w:i/>
          <w:iCs/>
          <w:color w:val="000000"/>
          <w:sz w:val="28"/>
          <w:szCs w:val="28"/>
          <w:shd w:val="clear" w:color="auto" w:fill="FFFFFF"/>
        </w:rPr>
        <w:t>The Review of Economic </w:t>
      </w:r>
      <w:r w:rsidRPr="007A0738">
        <w:rPr>
          <w:rStyle w:val="spellingerror"/>
          <w:rFonts w:ascii="Times New Roman" w:hAnsi="Times New Roman"/>
          <w:i/>
          <w:iCs/>
          <w:color w:val="000000"/>
          <w:sz w:val="28"/>
          <w:szCs w:val="28"/>
          <w:shd w:val="clear" w:color="auto" w:fill="FFFFFF"/>
        </w:rPr>
        <w:t>Studi</w:t>
      </w:r>
      <w:r w:rsidRPr="007A0738">
        <w:rPr>
          <w:rStyle w:val="normaltextrun"/>
          <w:rFonts w:ascii="Times New Roman" w:hAnsi="Times New Roman"/>
          <w:i/>
          <w:iCs/>
          <w:color w:val="000000"/>
          <w:sz w:val="28"/>
          <w:szCs w:val="28"/>
          <w:shd w:val="clear" w:color="auto" w:fill="FFFFFF"/>
        </w:rPr>
        <w:t>es</w:t>
      </w:r>
      <w:r w:rsidRPr="007A0738">
        <w:rPr>
          <w:rStyle w:val="normaltextrun"/>
          <w:rFonts w:ascii="Times New Roman" w:hAnsi="Times New Roman"/>
          <w:color w:val="000000"/>
          <w:sz w:val="28"/>
          <w:szCs w:val="28"/>
          <w:shd w:val="clear" w:color="auto" w:fill="FFFFFF"/>
        </w:rPr>
        <w:t>,</w:t>
      </w:r>
      <w:r w:rsidRPr="007A0738">
        <w:rPr>
          <w:rStyle w:val="normaltextrun"/>
          <w:rFonts w:ascii="Times New Roman" w:hAnsi="Times New Roman"/>
          <w:i/>
          <w:iCs/>
          <w:color w:val="000000"/>
          <w:sz w:val="28"/>
          <w:szCs w:val="28"/>
          <w:shd w:val="clear" w:color="auto" w:fill="FFFFFF"/>
        </w:rPr>
        <w:t> 71</w:t>
      </w:r>
      <w:r w:rsidRPr="007A0738">
        <w:rPr>
          <w:rStyle w:val="normaltextrun"/>
          <w:rFonts w:ascii="Times New Roman" w:hAnsi="Times New Roman"/>
          <w:color w:val="000000"/>
          <w:sz w:val="28"/>
          <w:szCs w:val="28"/>
          <w:shd w:val="clear" w:color="auto" w:fill="FFFFFF"/>
        </w:rPr>
        <w:t>(4), 1001-1026.</w:t>
      </w:r>
      <w:r w:rsidRPr="007A0738">
        <w:rPr>
          <w:rStyle w:val="eop"/>
          <w:rFonts w:ascii="Times New Roman" w:hAnsi="Times New Roman"/>
          <w:color w:val="000000"/>
          <w:sz w:val="28"/>
          <w:szCs w:val="28"/>
          <w:shd w:val="clear" w:color="auto" w:fill="FFFFFF"/>
        </w:rPr>
        <w:t> </w:t>
      </w:r>
    </w:p>
    <w:p w14:paraId="4B29A27D" w14:textId="77777777" w:rsidR="00CA5D3C" w:rsidRPr="007A0738" w:rsidRDefault="00CA5D3C" w:rsidP="00CA5D3C">
      <w:pPr>
        <w:pStyle w:val="ListParagraph"/>
        <w:numPr>
          <w:ilvl w:val="0"/>
          <w:numId w:val="15"/>
        </w:numPr>
        <w:spacing w:line="360" w:lineRule="auto"/>
        <w:jc w:val="both"/>
        <w:rPr>
          <w:rFonts w:ascii="Times New Roman" w:hAnsi="Times New Roman"/>
          <w:sz w:val="28"/>
          <w:szCs w:val="28"/>
        </w:rPr>
      </w:pPr>
      <w:r w:rsidRPr="007A0738">
        <w:rPr>
          <w:rFonts w:ascii="Times New Roman" w:hAnsi="Times New Roman"/>
          <w:sz w:val="28"/>
          <w:szCs w:val="28"/>
        </w:rPr>
        <w:t xml:space="preserve">Galor, O. (2009). Inequality and Economic Development: An Overview. </w:t>
      </w:r>
      <w:r w:rsidRPr="007A0738">
        <w:rPr>
          <w:rFonts w:ascii="Times New Roman" w:hAnsi="Times New Roman"/>
          <w:i/>
          <w:sz w:val="28"/>
          <w:szCs w:val="28"/>
        </w:rPr>
        <w:t>Providence, RI: Brown University</w:t>
      </w:r>
      <w:r w:rsidRPr="007A0738">
        <w:rPr>
          <w:rFonts w:ascii="Times New Roman" w:hAnsi="Times New Roman"/>
          <w:sz w:val="28"/>
          <w:szCs w:val="28"/>
        </w:rPr>
        <w:t>,</w:t>
      </w:r>
      <w:r w:rsidRPr="007A0738">
        <w:rPr>
          <w:rFonts w:ascii="Times New Roman" w:hAnsi="Times New Roman"/>
          <w:i/>
          <w:sz w:val="28"/>
          <w:szCs w:val="28"/>
        </w:rPr>
        <w:t xml:space="preserve"> Working Paper, </w:t>
      </w:r>
      <w:r w:rsidRPr="007A0738">
        <w:rPr>
          <w:rFonts w:ascii="Times New Roman" w:hAnsi="Times New Roman"/>
          <w:sz w:val="28"/>
          <w:szCs w:val="28"/>
        </w:rPr>
        <w:t>No. 2009-3.</w:t>
      </w:r>
    </w:p>
    <w:p w14:paraId="174B819C" w14:textId="77777777" w:rsidR="00CA5D3C" w:rsidRPr="007A0738" w:rsidRDefault="00CA5D3C" w:rsidP="00CA5D3C">
      <w:pPr>
        <w:pStyle w:val="ListParagraph"/>
        <w:numPr>
          <w:ilvl w:val="0"/>
          <w:numId w:val="15"/>
        </w:numPr>
        <w:spacing w:line="360" w:lineRule="auto"/>
        <w:jc w:val="both"/>
        <w:rPr>
          <w:rStyle w:val="eop"/>
          <w:rFonts w:ascii="Times New Roman" w:hAnsi="Times New Roman"/>
          <w:i/>
          <w:sz w:val="28"/>
          <w:szCs w:val="28"/>
        </w:rPr>
      </w:pPr>
      <w:r w:rsidRPr="007A0738">
        <w:rPr>
          <w:rStyle w:val="spellingerror"/>
          <w:rFonts w:ascii="Times New Roman" w:hAnsi="Times New Roman"/>
          <w:i/>
          <w:color w:val="000000"/>
          <w:sz w:val="28"/>
          <w:szCs w:val="28"/>
          <w:shd w:val="clear" w:color="auto" w:fill="FFFFFF"/>
        </w:rPr>
        <w:t>Galor</w:t>
      </w:r>
      <w:r w:rsidRPr="007A0738">
        <w:rPr>
          <w:rStyle w:val="normaltextrun"/>
          <w:rFonts w:ascii="Times New Roman" w:hAnsi="Times New Roman"/>
          <w:i/>
          <w:color w:val="000000"/>
          <w:sz w:val="28"/>
          <w:szCs w:val="28"/>
          <w:shd w:val="clear" w:color="auto" w:fill="FFFFFF"/>
        </w:rPr>
        <w:t>, O. (2011). Inequality, Human Capital Forma</w:t>
      </w:r>
      <w:r w:rsidRPr="007A0738">
        <w:rPr>
          <w:rStyle w:val="spellingerror"/>
          <w:rFonts w:ascii="Times New Roman" w:hAnsi="Times New Roman"/>
          <w:i/>
          <w:color w:val="000000"/>
          <w:sz w:val="28"/>
          <w:szCs w:val="28"/>
          <w:shd w:val="clear" w:color="auto" w:fill="FFFFFF"/>
        </w:rPr>
        <w:t>tion</w:t>
      </w:r>
      <w:r w:rsidRPr="007A0738">
        <w:rPr>
          <w:rStyle w:val="normaltextrun"/>
          <w:rFonts w:ascii="Times New Roman" w:hAnsi="Times New Roman"/>
          <w:i/>
          <w:color w:val="000000"/>
          <w:sz w:val="28"/>
          <w:szCs w:val="28"/>
          <w:shd w:val="clear" w:color="auto" w:fill="FFFFFF"/>
        </w:rPr>
        <w:t> and The Process of Development. </w:t>
      </w:r>
      <w:r w:rsidRPr="007A0738">
        <w:rPr>
          <w:rStyle w:val="normaltextrun"/>
          <w:rFonts w:ascii="Times New Roman" w:hAnsi="Times New Roman"/>
          <w:i/>
          <w:iCs/>
          <w:color w:val="000000"/>
          <w:sz w:val="28"/>
          <w:szCs w:val="28"/>
          <w:shd w:val="clear" w:color="auto" w:fill="FFFFFF"/>
        </w:rPr>
        <w:t>National</w:t>
      </w:r>
      <w:r w:rsidRPr="007A0738">
        <w:rPr>
          <w:rStyle w:val="normaltextrun"/>
          <w:rFonts w:ascii="Times New Roman" w:hAnsi="Times New Roman"/>
          <w:i/>
          <w:color w:val="000000"/>
          <w:sz w:val="28"/>
          <w:szCs w:val="28"/>
          <w:shd w:val="clear" w:color="auto" w:fill="FFFFFF"/>
        </w:rPr>
        <w:t> </w:t>
      </w:r>
      <w:r w:rsidRPr="007A0738">
        <w:rPr>
          <w:rStyle w:val="normaltextrun"/>
          <w:rFonts w:ascii="Times New Roman" w:hAnsi="Times New Roman"/>
          <w:i/>
          <w:iCs/>
          <w:color w:val="000000"/>
          <w:sz w:val="28"/>
          <w:szCs w:val="28"/>
          <w:shd w:val="clear" w:color="auto" w:fill="FFFFFF"/>
        </w:rPr>
        <w:t>Bureau of Economic Research Working Paper</w:t>
      </w:r>
      <w:r w:rsidRPr="007A0738">
        <w:rPr>
          <w:rStyle w:val="normaltextrun"/>
          <w:rFonts w:ascii="Times New Roman" w:hAnsi="Times New Roman"/>
          <w:i/>
          <w:color w:val="000000"/>
          <w:sz w:val="28"/>
          <w:szCs w:val="28"/>
          <w:shd w:val="clear" w:color="auto" w:fill="FFFFFF"/>
        </w:rPr>
        <w:t>, No:</w:t>
      </w:r>
      <w:r w:rsidRPr="007A0738">
        <w:rPr>
          <w:rStyle w:val="normaltextrun"/>
          <w:rFonts w:ascii="Times New Roman" w:hAnsi="Times New Roman"/>
          <w:i/>
          <w:iCs/>
          <w:color w:val="000000"/>
          <w:sz w:val="28"/>
          <w:szCs w:val="28"/>
          <w:shd w:val="clear" w:color="auto" w:fill="FFFFFF"/>
        </w:rPr>
        <w:t> </w:t>
      </w:r>
      <w:r w:rsidRPr="007A0738">
        <w:rPr>
          <w:rStyle w:val="normaltextrun"/>
          <w:rFonts w:ascii="Times New Roman" w:hAnsi="Times New Roman"/>
          <w:i/>
          <w:color w:val="000000"/>
          <w:sz w:val="28"/>
          <w:szCs w:val="28"/>
          <w:shd w:val="clear" w:color="auto" w:fill="FFFFFF"/>
        </w:rPr>
        <w:t>17058.</w:t>
      </w:r>
      <w:r w:rsidRPr="007A0738">
        <w:rPr>
          <w:rStyle w:val="eop"/>
          <w:rFonts w:ascii="Times New Roman" w:hAnsi="Times New Roman"/>
          <w:i/>
          <w:color w:val="000000"/>
          <w:sz w:val="28"/>
          <w:szCs w:val="28"/>
          <w:shd w:val="clear" w:color="auto" w:fill="FFFFFF"/>
        </w:rPr>
        <w:t> </w:t>
      </w:r>
    </w:p>
    <w:p w14:paraId="46B7FC3D" w14:textId="77777777" w:rsidR="00A779B8" w:rsidRPr="007A0738" w:rsidRDefault="00A779B8" w:rsidP="00CA5D3C">
      <w:pPr>
        <w:pStyle w:val="ListParagraph"/>
        <w:numPr>
          <w:ilvl w:val="0"/>
          <w:numId w:val="15"/>
        </w:numPr>
        <w:spacing w:line="360" w:lineRule="auto"/>
        <w:jc w:val="both"/>
        <w:rPr>
          <w:rFonts w:ascii="Times New Roman" w:hAnsi="Times New Roman"/>
          <w:i/>
          <w:sz w:val="28"/>
          <w:szCs w:val="28"/>
        </w:rPr>
      </w:pPr>
      <w:r w:rsidRPr="007A0738">
        <w:rPr>
          <w:rStyle w:val="normaltextrun"/>
          <w:rFonts w:ascii="Times New Roman" w:hAnsi="Times New Roman"/>
          <w:color w:val="000000"/>
          <w:sz w:val="28"/>
          <w:szCs w:val="28"/>
          <w:shd w:val="clear" w:color="auto" w:fill="FFFFFF"/>
        </w:rPr>
        <w:t>Smith, A. (1776). </w:t>
      </w:r>
      <w:r w:rsidRPr="007A0738">
        <w:rPr>
          <w:rStyle w:val="normaltextrun"/>
          <w:rFonts w:ascii="Times New Roman" w:hAnsi="Times New Roman"/>
          <w:i/>
          <w:iCs/>
          <w:color w:val="000000"/>
          <w:sz w:val="28"/>
          <w:szCs w:val="28"/>
          <w:shd w:val="clear" w:color="auto" w:fill="FFFFFF"/>
        </w:rPr>
        <w:t>The wealth of nations</w:t>
      </w:r>
      <w:r w:rsidRPr="007A0738">
        <w:rPr>
          <w:rStyle w:val="normaltextrun"/>
          <w:rFonts w:ascii="Times New Roman" w:hAnsi="Times New Roman"/>
          <w:color w:val="000000"/>
          <w:sz w:val="28"/>
          <w:szCs w:val="28"/>
          <w:shd w:val="clear" w:color="auto" w:fill="FFFFFF"/>
        </w:rPr>
        <w:t>. New York: Mo</w:t>
      </w:r>
      <w:r w:rsidRPr="007A0738">
        <w:rPr>
          <w:rStyle w:val="spellingerror"/>
          <w:rFonts w:ascii="Times New Roman" w:hAnsi="Times New Roman"/>
          <w:color w:val="000000"/>
          <w:sz w:val="28"/>
          <w:szCs w:val="28"/>
          <w:shd w:val="clear" w:color="auto" w:fill="FFFFFF"/>
        </w:rPr>
        <w:t>dern</w:t>
      </w:r>
      <w:r w:rsidRPr="007A0738">
        <w:rPr>
          <w:rStyle w:val="normaltextrun"/>
          <w:rFonts w:ascii="Times New Roman" w:hAnsi="Times New Roman"/>
          <w:color w:val="000000"/>
          <w:sz w:val="28"/>
          <w:szCs w:val="28"/>
          <w:shd w:val="clear" w:color="auto" w:fill="FFFFFF"/>
        </w:rPr>
        <w:t> Library.</w:t>
      </w:r>
      <w:r w:rsidRPr="007A0738">
        <w:rPr>
          <w:rStyle w:val="eop"/>
          <w:rFonts w:ascii="Times New Roman" w:hAnsi="Times New Roman"/>
          <w:color w:val="000000"/>
          <w:sz w:val="28"/>
          <w:szCs w:val="28"/>
          <w:shd w:val="clear" w:color="auto" w:fill="FFFFFF"/>
        </w:rPr>
        <w:t> </w:t>
      </w:r>
    </w:p>
    <w:p w14:paraId="1B547D57" w14:textId="77777777" w:rsidR="00F32B0B" w:rsidRPr="007A0738" w:rsidRDefault="00F32B0B" w:rsidP="00CA5D3C">
      <w:pPr>
        <w:pStyle w:val="ListParagraph"/>
        <w:numPr>
          <w:ilvl w:val="0"/>
          <w:numId w:val="15"/>
        </w:numPr>
        <w:spacing w:line="360" w:lineRule="auto"/>
        <w:jc w:val="both"/>
        <w:rPr>
          <w:rFonts w:ascii="Times New Roman" w:hAnsi="Times New Roman"/>
          <w:sz w:val="28"/>
          <w:szCs w:val="28"/>
        </w:rPr>
      </w:pPr>
      <w:r w:rsidRPr="007A0738">
        <w:rPr>
          <w:rFonts w:ascii="Times New Roman" w:hAnsi="Times New Roman"/>
          <w:sz w:val="28"/>
          <w:szCs w:val="28"/>
        </w:rPr>
        <w:t>Keynes, J. M. (1920). The Economic Consequences of the Peace. New York: Dover Publications.</w:t>
      </w:r>
    </w:p>
    <w:p w14:paraId="13592988" w14:textId="77777777" w:rsidR="00DF6B0A" w:rsidRPr="007A0738" w:rsidRDefault="00DF6B0A" w:rsidP="00CA5D3C">
      <w:pPr>
        <w:pStyle w:val="ListParagraph"/>
        <w:numPr>
          <w:ilvl w:val="0"/>
          <w:numId w:val="15"/>
        </w:numPr>
        <w:spacing w:line="360" w:lineRule="auto"/>
        <w:jc w:val="both"/>
        <w:rPr>
          <w:rFonts w:ascii="Times New Roman" w:hAnsi="Times New Roman"/>
          <w:sz w:val="28"/>
          <w:szCs w:val="28"/>
        </w:rPr>
      </w:pPr>
      <w:r w:rsidRPr="007A0738">
        <w:rPr>
          <w:rFonts w:ascii="Times New Roman" w:hAnsi="Times New Roman"/>
          <w:sz w:val="28"/>
          <w:szCs w:val="28"/>
        </w:rPr>
        <w:t xml:space="preserve">Lewis, W. A. (1954). Economic Development with Un-limited Supply of Labor. </w:t>
      </w:r>
      <w:r w:rsidRPr="007A0738">
        <w:rPr>
          <w:rFonts w:ascii="Times New Roman" w:hAnsi="Times New Roman"/>
          <w:i/>
          <w:sz w:val="28"/>
          <w:szCs w:val="28"/>
        </w:rPr>
        <w:t>The Manchester School</w:t>
      </w:r>
      <w:r w:rsidRPr="007A0738">
        <w:rPr>
          <w:rFonts w:ascii="Times New Roman" w:hAnsi="Times New Roman"/>
          <w:sz w:val="28"/>
          <w:szCs w:val="28"/>
        </w:rPr>
        <w:t xml:space="preserve">, </w:t>
      </w:r>
      <w:r w:rsidRPr="007A0738">
        <w:rPr>
          <w:rFonts w:ascii="Times New Roman" w:hAnsi="Times New Roman"/>
          <w:i/>
          <w:sz w:val="28"/>
          <w:szCs w:val="28"/>
        </w:rPr>
        <w:t>22</w:t>
      </w:r>
      <w:r w:rsidRPr="007A0738">
        <w:rPr>
          <w:rFonts w:ascii="Times New Roman" w:hAnsi="Times New Roman"/>
          <w:sz w:val="28"/>
          <w:szCs w:val="28"/>
        </w:rPr>
        <w:t>, 139–191.</w:t>
      </w:r>
    </w:p>
    <w:p w14:paraId="5E9AFF5A" w14:textId="77777777" w:rsidR="00DF6B0A" w:rsidRPr="007A0738" w:rsidRDefault="00DF6B0A" w:rsidP="00CA5D3C">
      <w:pPr>
        <w:pStyle w:val="ListParagraph"/>
        <w:numPr>
          <w:ilvl w:val="0"/>
          <w:numId w:val="15"/>
        </w:numPr>
        <w:spacing w:line="360" w:lineRule="auto"/>
        <w:jc w:val="both"/>
        <w:rPr>
          <w:rFonts w:ascii="Times New Roman" w:hAnsi="Times New Roman"/>
          <w:i/>
          <w:sz w:val="28"/>
          <w:szCs w:val="28"/>
        </w:rPr>
      </w:pPr>
      <w:r w:rsidRPr="007A0738">
        <w:rPr>
          <w:rFonts w:ascii="Times New Roman" w:hAnsi="Times New Roman"/>
          <w:sz w:val="28"/>
          <w:szCs w:val="28"/>
        </w:rPr>
        <w:t xml:space="preserve">Kaldor, N. (1957). A Model of Economic Growth. </w:t>
      </w:r>
      <w:r w:rsidRPr="007A0738">
        <w:rPr>
          <w:rFonts w:ascii="Times New Roman" w:hAnsi="Times New Roman"/>
          <w:i/>
          <w:sz w:val="28"/>
          <w:szCs w:val="28"/>
        </w:rPr>
        <w:t>Economic Journal</w:t>
      </w:r>
      <w:r w:rsidRPr="007A0738">
        <w:rPr>
          <w:rFonts w:ascii="Times New Roman" w:hAnsi="Times New Roman"/>
          <w:sz w:val="28"/>
          <w:szCs w:val="28"/>
        </w:rPr>
        <w:t>,</w:t>
      </w:r>
      <w:r w:rsidRPr="007A0738">
        <w:rPr>
          <w:rFonts w:ascii="Times New Roman" w:hAnsi="Times New Roman"/>
          <w:i/>
          <w:sz w:val="28"/>
          <w:szCs w:val="28"/>
        </w:rPr>
        <w:t xml:space="preserve"> 67</w:t>
      </w:r>
      <w:r w:rsidRPr="007A0738">
        <w:rPr>
          <w:rFonts w:ascii="Times New Roman" w:hAnsi="Times New Roman"/>
          <w:sz w:val="28"/>
          <w:szCs w:val="28"/>
        </w:rPr>
        <w:t>, 591–624.</w:t>
      </w:r>
    </w:p>
    <w:p w14:paraId="7D5A5EE7" w14:textId="52AD051D" w:rsidR="007A0738" w:rsidRPr="007A0738" w:rsidRDefault="007A0738" w:rsidP="007A0738">
      <w:pPr>
        <w:pStyle w:val="ListParagraph"/>
        <w:numPr>
          <w:ilvl w:val="0"/>
          <w:numId w:val="15"/>
        </w:numPr>
        <w:spacing w:line="360" w:lineRule="auto"/>
        <w:jc w:val="both"/>
        <w:rPr>
          <w:rFonts w:ascii="Times New Roman" w:hAnsi="Times New Roman"/>
          <w:i/>
          <w:sz w:val="28"/>
          <w:szCs w:val="28"/>
        </w:rPr>
      </w:pPr>
      <w:r w:rsidRPr="007A0738">
        <w:rPr>
          <w:rFonts w:ascii="Times New Roman" w:hAnsi="Times New Roman"/>
          <w:i/>
          <w:sz w:val="28"/>
          <w:szCs w:val="28"/>
        </w:rPr>
        <w:t>Kelly, M. (2000). Inequality and Crime. Review of eco-nomics and Statistics, 82(4), 530-539</w:t>
      </w:r>
    </w:p>
    <w:p w14:paraId="11BBAFCD" w14:textId="77777777" w:rsidR="007A0738" w:rsidRPr="007A0738" w:rsidRDefault="007A0738" w:rsidP="007A0738">
      <w:pPr>
        <w:pStyle w:val="ListParagraph"/>
        <w:numPr>
          <w:ilvl w:val="0"/>
          <w:numId w:val="15"/>
        </w:numPr>
        <w:autoSpaceDE w:val="0"/>
        <w:autoSpaceDN w:val="0"/>
        <w:adjustRightInd w:val="0"/>
        <w:spacing w:line="264" w:lineRule="auto"/>
        <w:jc w:val="both"/>
        <w:rPr>
          <w:rFonts w:ascii="Times New Roman" w:hAnsi="Times New Roman"/>
          <w:sz w:val="28"/>
          <w:szCs w:val="28"/>
          <w:lang w:val="ru-RU"/>
        </w:rPr>
      </w:pPr>
      <w:r w:rsidRPr="007A0738">
        <w:rPr>
          <w:rFonts w:ascii="Times New Roman" w:hAnsi="Times New Roman"/>
          <w:sz w:val="28"/>
          <w:szCs w:val="28"/>
          <w:lang w:val="en-US"/>
        </w:rPr>
        <w:t xml:space="preserve">Perotti, R. (1993). Political Equilibrium, Income Dist-ribution, and Growth. </w:t>
      </w:r>
      <w:r w:rsidRPr="007A0738">
        <w:rPr>
          <w:rFonts w:ascii="Times New Roman" w:hAnsi="Times New Roman"/>
          <w:i/>
          <w:iCs/>
          <w:sz w:val="28"/>
          <w:szCs w:val="28"/>
          <w:lang w:val="ru-RU"/>
        </w:rPr>
        <w:t>The Review of Economic Stu-dies</w:t>
      </w:r>
      <w:r w:rsidRPr="007A0738">
        <w:rPr>
          <w:rFonts w:ascii="Times New Roman" w:hAnsi="Times New Roman"/>
          <w:sz w:val="28"/>
          <w:szCs w:val="28"/>
          <w:lang w:val="ru-RU"/>
        </w:rPr>
        <w:t>,</w:t>
      </w:r>
      <w:r w:rsidRPr="007A0738">
        <w:rPr>
          <w:rFonts w:ascii="Times New Roman" w:hAnsi="Times New Roman"/>
          <w:i/>
          <w:iCs/>
          <w:sz w:val="28"/>
          <w:szCs w:val="28"/>
          <w:lang w:val="ru-RU"/>
        </w:rPr>
        <w:t xml:space="preserve"> 60</w:t>
      </w:r>
      <w:r w:rsidRPr="007A0738">
        <w:rPr>
          <w:rFonts w:ascii="Times New Roman" w:hAnsi="Times New Roman"/>
          <w:sz w:val="28"/>
          <w:szCs w:val="28"/>
          <w:lang w:val="ru-RU"/>
        </w:rPr>
        <w:t>(4), 755-776.</w:t>
      </w:r>
    </w:p>
    <w:p w14:paraId="2E3DD50B" w14:textId="412D2DF3" w:rsidR="007A0738" w:rsidRPr="00AB0633" w:rsidRDefault="007A0738" w:rsidP="00AB0633">
      <w:pPr>
        <w:pStyle w:val="ListParagraph"/>
        <w:numPr>
          <w:ilvl w:val="0"/>
          <w:numId w:val="15"/>
        </w:numPr>
        <w:spacing w:line="360" w:lineRule="auto"/>
        <w:jc w:val="both"/>
        <w:rPr>
          <w:rFonts w:ascii="Times New Roman" w:hAnsi="Times New Roman"/>
          <w:i/>
          <w:sz w:val="28"/>
          <w:szCs w:val="28"/>
        </w:rPr>
      </w:pPr>
      <w:r w:rsidRPr="007A0738">
        <w:rPr>
          <w:rFonts w:ascii="Times New Roman" w:hAnsi="Times New Roman"/>
          <w:i/>
          <w:sz w:val="28"/>
          <w:szCs w:val="28"/>
        </w:rPr>
        <w:t>Persson, T., Tabellini, G. (1994). Is Inequality Harm-ful for Growth?. The American Economic Review, 84(3), 600-621.</w:t>
      </w:r>
    </w:p>
    <w:p w14:paraId="75CB5EEA" w14:textId="732FC4E8" w:rsidR="007A0738" w:rsidRPr="00A8688D" w:rsidRDefault="007A0738" w:rsidP="007A0738">
      <w:pPr>
        <w:pStyle w:val="ListParagraph"/>
        <w:numPr>
          <w:ilvl w:val="0"/>
          <w:numId w:val="15"/>
        </w:numPr>
        <w:spacing w:line="360" w:lineRule="auto"/>
        <w:jc w:val="both"/>
        <w:rPr>
          <w:rFonts w:ascii="Times New Roman" w:hAnsi="Times New Roman"/>
          <w:i/>
          <w:sz w:val="28"/>
          <w:szCs w:val="28"/>
        </w:rPr>
      </w:pPr>
      <w:r w:rsidRPr="00A8688D">
        <w:rPr>
          <w:rFonts w:ascii="Times New Roman" w:hAnsi="Times New Roman"/>
          <w:i/>
          <w:sz w:val="28"/>
          <w:szCs w:val="28"/>
        </w:rPr>
        <w:t>Venieris, Y. P., Gupta, D. K. (1986). Income Distribu-tion and Sociopolitical Instability as Determinants of Savings: A Cross-Sectional Model. Journal of Po-litical Economy, 94(4), 873-883.</w:t>
      </w:r>
    </w:p>
    <w:p w14:paraId="6684BF9A" w14:textId="387BD1BA" w:rsidR="00A8688D" w:rsidRPr="00AB0633" w:rsidRDefault="00A8688D" w:rsidP="007A0738">
      <w:pPr>
        <w:pStyle w:val="ListParagraph"/>
        <w:numPr>
          <w:ilvl w:val="0"/>
          <w:numId w:val="15"/>
        </w:numPr>
        <w:spacing w:line="360" w:lineRule="auto"/>
        <w:jc w:val="both"/>
        <w:rPr>
          <w:rFonts w:ascii="Times New Roman" w:hAnsi="Times New Roman"/>
          <w:i/>
          <w:sz w:val="28"/>
          <w:szCs w:val="28"/>
        </w:rPr>
      </w:pPr>
      <w:r w:rsidRPr="00A8688D">
        <w:rPr>
          <w:rFonts w:ascii="Times New Roman" w:eastAsia="Arial" w:hAnsi="Times New Roman"/>
          <w:i/>
          <w:sz w:val="28"/>
          <w:szCs w:val="28"/>
        </w:rPr>
        <w:t>Poverty Manual, All, JH Revision of August 8, 2005</w:t>
      </w:r>
    </w:p>
    <w:p w14:paraId="57D6A207" w14:textId="77777777" w:rsidR="00AB0633" w:rsidRPr="00AB0633" w:rsidRDefault="00AB0633" w:rsidP="00AB0633">
      <w:pPr>
        <w:spacing w:line="360" w:lineRule="auto"/>
        <w:jc w:val="both"/>
        <w:rPr>
          <w:rFonts w:eastAsia="Calibri"/>
          <w:i/>
          <w:sz w:val="28"/>
          <w:szCs w:val="28"/>
        </w:rPr>
      </w:pPr>
    </w:p>
    <w:p w14:paraId="0AB74359" w14:textId="77777777" w:rsidR="00AB0633" w:rsidRPr="00AB0633" w:rsidRDefault="00AB0633" w:rsidP="00AB0633">
      <w:pPr>
        <w:spacing w:line="360" w:lineRule="auto"/>
        <w:jc w:val="both"/>
        <w:rPr>
          <w:i/>
          <w:sz w:val="28"/>
          <w:szCs w:val="28"/>
        </w:rPr>
      </w:pPr>
      <w:r w:rsidRPr="00AB0633">
        <w:rPr>
          <w:b/>
          <w:i/>
          <w:sz w:val="28"/>
          <w:szCs w:val="28"/>
          <w:lang w:val="en-US"/>
        </w:rPr>
        <w:t>Internet resource entries:</w:t>
      </w:r>
    </w:p>
    <w:p w14:paraId="161ABB95" w14:textId="77777777" w:rsidR="00AB0633" w:rsidRPr="00AB0633" w:rsidRDefault="00AB0633" w:rsidP="00AB0633">
      <w:pPr>
        <w:spacing w:line="360" w:lineRule="auto"/>
        <w:jc w:val="both"/>
        <w:rPr>
          <w:rFonts w:eastAsia="Calibri"/>
          <w:i/>
          <w:sz w:val="28"/>
          <w:szCs w:val="28"/>
        </w:rPr>
      </w:pPr>
    </w:p>
    <w:p w14:paraId="455127C9" w14:textId="339F6D3F" w:rsidR="00AB0633" w:rsidRPr="00AB0633" w:rsidRDefault="00CC3C31" w:rsidP="00AB0633">
      <w:pPr>
        <w:pStyle w:val="ListParagraph"/>
        <w:numPr>
          <w:ilvl w:val="0"/>
          <w:numId w:val="15"/>
        </w:numPr>
        <w:spacing w:line="360" w:lineRule="auto"/>
        <w:jc w:val="both"/>
        <w:rPr>
          <w:rFonts w:ascii="Times New Roman" w:hAnsi="Times New Roman"/>
          <w:i/>
          <w:sz w:val="28"/>
          <w:szCs w:val="28"/>
        </w:rPr>
      </w:pPr>
      <w:hyperlink r:id="rId46" w:history="1">
        <w:r w:rsidR="00AB0633" w:rsidRPr="00AB0633">
          <w:rPr>
            <w:rFonts w:ascii="Times New Roman" w:hAnsi="Times New Roman"/>
            <w:color w:val="0000FF"/>
            <w:sz w:val="28"/>
            <w:szCs w:val="28"/>
            <w:u w:val="single"/>
            <w:lang w:val="en"/>
          </w:rPr>
          <w:t>https://www.investopedia.com/terms/g/gini-index.asp</w:t>
        </w:r>
      </w:hyperlink>
    </w:p>
    <w:p w14:paraId="0A1CD386" w14:textId="77777777" w:rsidR="00AB0633" w:rsidRPr="00176AFB" w:rsidRDefault="00CC3C31" w:rsidP="00AB0633">
      <w:pPr>
        <w:pStyle w:val="ListParagraph"/>
        <w:numPr>
          <w:ilvl w:val="0"/>
          <w:numId w:val="15"/>
        </w:numPr>
        <w:autoSpaceDE w:val="0"/>
        <w:autoSpaceDN w:val="0"/>
        <w:adjustRightInd w:val="0"/>
        <w:spacing w:line="360" w:lineRule="auto"/>
        <w:jc w:val="both"/>
        <w:rPr>
          <w:rFonts w:ascii="Times New Roman" w:hAnsi="Times New Roman"/>
          <w:sz w:val="28"/>
          <w:szCs w:val="28"/>
          <w:lang w:val="en-US"/>
        </w:rPr>
      </w:pPr>
      <w:hyperlink r:id="rId47" w:history="1">
        <w:r w:rsidR="00AB0633" w:rsidRPr="00176AFB">
          <w:rPr>
            <w:rFonts w:ascii="Times New Roman" w:hAnsi="Times New Roman"/>
            <w:color w:val="0000FF"/>
            <w:sz w:val="28"/>
            <w:szCs w:val="28"/>
            <w:u w:val="single"/>
            <w:lang w:val="en-US"/>
          </w:rPr>
          <w:t>https://www.imf.org/external/datamapper/NGDP_RPCH@WEO/OEMDC/ADVEC/WEOWORLD</w:t>
        </w:r>
      </w:hyperlink>
    </w:p>
    <w:p w14:paraId="6B526291" w14:textId="3F48430A" w:rsidR="00AB0633" w:rsidRPr="00176AFB" w:rsidRDefault="00CC3C31" w:rsidP="00AB0633">
      <w:pPr>
        <w:pStyle w:val="ListParagraph"/>
        <w:numPr>
          <w:ilvl w:val="0"/>
          <w:numId w:val="15"/>
        </w:numPr>
        <w:autoSpaceDE w:val="0"/>
        <w:autoSpaceDN w:val="0"/>
        <w:adjustRightInd w:val="0"/>
        <w:spacing w:line="360" w:lineRule="auto"/>
        <w:jc w:val="both"/>
        <w:rPr>
          <w:rFonts w:ascii="Times New Roman" w:hAnsi="Times New Roman"/>
          <w:sz w:val="28"/>
          <w:szCs w:val="28"/>
          <w:lang w:val="en-US"/>
        </w:rPr>
      </w:pPr>
      <w:hyperlink r:id="rId48" w:history="1">
        <w:r w:rsidR="00AB0633" w:rsidRPr="00176AFB">
          <w:rPr>
            <w:rStyle w:val="Hyperlink"/>
            <w:rFonts w:ascii="Times New Roman" w:hAnsi="Times New Roman"/>
            <w:sz w:val="28"/>
            <w:szCs w:val="28"/>
          </w:rPr>
          <w:t>https://stats.oecd.org/</w:t>
        </w:r>
      </w:hyperlink>
    </w:p>
    <w:p w14:paraId="062EE168" w14:textId="08812E55" w:rsidR="00AB0633" w:rsidRPr="00176AFB" w:rsidRDefault="00CC3C31" w:rsidP="00AB0633">
      <w:pPr>
        <w:pStyle w:val="ListParagraph"/>
        <w:numPr>
          <w:ilvl w:val="0"/>
          <w:numId w:val="15"/>
        </w:numPr>
        <w:spacing w:line="360" w:lineRule="auto"/>
        <w:jc w:val="both"/>
        <w:rPr>
          <w:rFonts w:ascii="Times New Roman" w:hAnsi="Times New Roman"/>
          <w:i/>
          <w:sz w:val="28"/>
          <w:szCs w:val="28"/>
        </w:rPr>
      </w:pPr>
      <w:hyperlink r:id="rId49" w:history="1">
        <w:r w:rsidR="00AB0633" w:rsidRPr="00176AFB">
          <w:rPr>
            <w:rFonts w:ascii="Times New Roman" w:hAnsi="Times New Roman"/>
            <w:color w:val="0000FF"/>
            <w:sz w:val="28"/>
            <w:szCs w:val="28"/>
            <w:u w:val="single"/>
            <w:lang w:val="en-US"/>
          </w:rPr>
          <w:t>https://sevenpillarsinstitute.org/consequences-economic-inequality/</w:t>
        </w:r>
      </w:hyperlink>
    </w:p>
    <w:p w14:paraId="592B1435" w14:textId="77777777" w:rsidR="00AB0633" w:rsidRPr="00176AFB" w:rsidRDefault="00CC3C31" w:rsidP="00AB0633">
      <w:pPr>
        <w:pStyle w:val="ListParagraph"/>
        <w:numPr>
          <w:ilvl w:val="0"/>
          <w:numId w:val="15"/>
        </w:numPr>
        <w:autoSpaceDE w:val="0"/>
        <w:autoSpaceDN w:val="0"/>
        <w:adjustRightInd w:val="0"/>
        <w:spacing w:line="360" w:lineRule="auto"/>
        <w:jc w:val="both"/>
        <w:rPr>
          <w:rFonts w:ascii="Times New Roman" w:hAnsi="Times New Roman"/>
          <w:sz w:val="28"/>
          <w:szCs w:val="28"/>
          <w:lang w:val="en-US"/>
        </w:rPr>
      </w:pPr>
      <w:hyperlink r:id="rId50" w:history="1">
        <w:r w:rsidR="00AB0633" w:rsidRPr="00176AFB">
          <w:rPr>
            <w:rFonts w:ascii="Times New Roman" w:hAnsi="Times New Roman"/>
            <w:color w:val="0000FF"/>
            <w:sz w:val="28"/>
            <w:szCs w:val="28"/>
            <w:u w:val="single"/>
            <w:lang w:val="en-US"/>
          </w:rPr>
          <w:t>https://data.worldbank.org/indicator/SI.POV.GINI?end=2015&amp;start=2006</w:t>
        </w:r>
      </w:hyperlink>
    </w:p>
    <w:p w14:paraId="4EE0BD86" w14:textId="77777777" w:rsidR="00895AD0" w:rsidRPr="00176AFB" w:rsidRDefault="00CC3C31" w:rsidP="00895AD0">
      <w:pPr>
        <w:pStyle w:val="ListParagraph"/>
        <w:numPr>
          <w:ilvl w:val="0"/>
          <w:numId w:val="15"/>
        </w:numPr>
        <w:spacing w:after="160" w:line="259" w:lineRule="auto"/>
        <w:rPr>
          <w:rFonts w:ascii="Times New Roman" w:hAnsi="Times New Roman"/>
          <w:i/>
          <w:sz w:val="28"/>
          <w:szCs w:val="28"/>
          <w:lang w:val="en-US"/>
        </w:rPr>
      </w:pPr>
      <w:hyperlink r:id="rId51" w:history="1">
        <w:r w:rsidR="00895AD0" w:rsidRPr="00176AFB">
          <w:rPr>
            <w:rStyle w:val="Hyperlink"/>
            <w:rFonts w:ascii="Times New Roman" w:hAnsi="Times New Roman"/>
            <w:i/>
            <w:sz w:val="28"/>
            <w:szCs w:val="28"/>
          </w:rPr>
          <w:t>https://data.worldbank.org/</w:t>
        </w:r>
      </w:hyperlink>
    </w:p>
    <w:p w14:paraId="5EDB2C92" w14:textId="257C71AF" w:rsidR="00AB0633" w:rsidRPr="00176AFB" w:rsidRDefault="00CC3C31" w:rsidP="00AB0633">
      <w:pPr>
        <w:pStyle w:val="ListParagraph"/>
        <w:numPr>
          <w:ilvl w:val="0"/>
          <w:numId w:val="15"/>
        </w:numPr>
        <w:spacing w:line="360" w:lineRule="auto"/>
        <w:jc w:val="both"/>
        <w:rPr>
          <w:rFonts w:ascii="Times New Roman" w:hAnsi="Times New Roman"/>
          <w:i/>
          <w:sz w:val="28"/>
          <w:szCs w:val="28"/>
        </w:rPr>
      </w:pPr>
      <w:hyperlink r:id="rId52" w:history="1">
        <w:r w:rsidR="00176AFB" w:rsidRPr="00176AFB">
          <w:rPr>
            <w:rStyle w:val="Hyperlink"/>
            <w:rFonts w:ascii="Times New Roman" w:hAnsi="Times New Roman"/>
            <w:sz w:val="28"/>
            <w:szCs w:val="28"/>
          </w:rPr>
          <w:t>https://www.investopedia.com/terms/g/gini-index.asp</w:t>
        </w:r>
      </w:hyperlink>
    </w:p>
    <w:p w14:paraId="3221FBC6" w14:textId="34E1860D" w:rsidR="00176AFB" w:rsidRPr="00176AFB" w:rsidRDefault="00CC3C31" w:rsidP="00AB0633">
      <w:pPr>
        <w:pStyle w:val="ListParagraph"/>
        <w:numPr>
          <w:ilvl w:val="0"/>
          <w:numId w:val="15"/>
        </w:numPr>
        <w:spacing w:line="360" w:lineRule="auto"/>
        <w:jc w:val="both"/>
        <w:rPr>
          <w:rFonts w:ascii="Times New Roman" w:hAnsi="Times New Roman"/>
          <w:i/>
          <w:sz w:val="28"/>
          <w:szCs w:val="28"/>
        </w:rPr>
      </w:pPr>
      <w:hyperlink r:id="rId53" w:history="1">
        <w:r w:rsidR="00176AFB" w:rsidRPr="00176AFB">
          <w:rPr>
            <w:rStyle w:val="Hyperlink"/>
            <w:rFonts w:ascii="Times New Roman" w:hAnsi="Times New Roman"/>
            <w:sz w:val="28"/>
            <w:szCs w:val="28"/>
          </w:rPr>
          <w:t>https://www.investopedia.com/terms/r/realgdp.asp</w:t>
        </w:r>
      </w:hyperlink>
    </w:p>
    <w:p w14:paraId="7B42FB54" w14:textId="23FB174D" w:rsidR="00DF6B0A" w:rsidRDefault="00DF6B0A" w:rsidP="000B4864">
      <w:pPr>
        <w:spacing w:line="360" w:lineRule="auto"/>
        <w:jc w:val="both"/>
        <w:rPr>
          <w:i/>
          <w:sz w:val="28"/>
          <w:szCs w:val="28"/>
        </w:rPr>
      </w:pPr>
    </w:p>
    <w:p w14:paraId="72B99B85" w14:textId="55902025" w:rsidR="000B4864" w:rsidRDefault="000B4864" w:rsidP="000B4864">
      <w:pPr>
        <w:spacing w:line="360" w:lineRule="auto"/>
        <w:jc w:val="both"/>
        <w:rPr>
          <w:i/>
          <w:sz w:val="28"/>
          <w:szCs w:val="28"/>
        </w:rPr>
      </w:pPr>
    </w:p>
    <w:p w14:paraId="5FEDDCE1" w14:textId="01A17F80" w:rsidR="000B4864" w:rsidRPr="000B4864" w:rsidRDefault="000B4864" w:rsidP="009D4D36">
      <w:pPr>
        <w:spacing w:line="360" w:lineRule="auto"/>
        <w:rPr>
          <w:b/>
          <w:i/>
          <w:sz w:val="32"/>
          <w:szCs w:val="28"/>
        </w:rPr>
      </w:pPr>
    </w:p>
    <w:sectPr w:rsidR="000B4864" w:rsidRPr="000B4864" w:rsidSect="009927EA">
      <w:headerReference w:type="default" r:id="rId5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0B512" w14:textId="77777777" w:rsidR="00CC3C31" w:rsidRDefault="00CC3C31" w:rsidP="00657E94">
      <w:r>
        <w:separator/>
      </w:r>
    </w:p>
  </w:endnote>
  <w:endnote w:type="continuationSeparator" w:id="0">
    <w:p w14:paraId="3D5B2961" w14:textId="77777777" w:rsidR="00CC3C31" w:rsidRDefault="00CC3C31" w:rsidP="0065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imes New Roman CYR">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03FBF" w14:textId="77777777" w:rsidR="003974A2" w:rsidRDefault="003974A2">
    <w:pPr>
      <w:pStyle w:val="Footer"/>
      <w:jc w:val="right"/>
    </w:pPr>
  </w:p>
  <w:p w14:paraId="50CA5542" w14:textId="77777777" w:rsidR="003974A2" w:rsidRPr="00724E96" w:rsidRDefault="003974A2" w:rsidP="00724E96">
    <w:pPr>
      <w:pStyle w:val="Footer"/>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91553"/>
      <w:docPartObj>
        <w:docPartGallery w:val="Page Numbers (Bottom of Page)"/>
        <w:docPartUnique/>
      </w:docPartObj>
    </w:sdtPr>
    <w:sdtEndPr>
      <w:rPr>
        <w:noProof/>
      </w:rPr>
    </w:sdtEndPr>
    <w:sdtContent>
      <w:p w14:paraId="0C7F5096" w14:textId="77777777" w:rsidR="003974A2" w:rsidRDefault="003974A2">
        <w:pPr>
          <w:pStyle w:val="Footer"/>
          <w:jc w:val="right"/>
        </w:pPr>
        <w:r>
          <w:fldChar w:fldCharType="begin"/>
        </w:r>
        <w:r>
          <w:instrText xml:space="preserve"> PAGE   \* MERGEFORMAT </w:instrText>
        </w:r>
        <w:r>
          <w:fldChar w:fldCharType="separate"/>
        </w:r>
        <w:r w:rsidR="0054077C">
          <w:rPr>
            <w:noProof/>
          </w:rPr>
          <w:t>15</w:t>
        </w:r>
        <w:r>
          <w:rPr>
            <w:noProof/>
          </w:rPr>
          <w:fldChar w:fldCharType="end"/>
        </w:r>
      </w:p>
    </w:sdtContent>
  </w:sdt>
  <w:p w14:paraId="0B4335E1" w14:textId="77777777" w:rsidR="003974A2" w:rsidRPr="00724E96" w:rsidRDefault="003974A2" w:rsidP="00724E96">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A46B2" w14:textId="77777777" w:rsidR="00CC3C31" w:rsidRDefault="00CC3C31" w:rsidP="00657E94">
      <w:r>
        <w:separator/>
      </w:r>
    </w:p>
  </w:footnote>
  <w:footnote w:type="continuationSeparator" w:id="0">
    <w:p w14:paraId="623A038D" w14:textId="77777777" w:rsidR="00CC3C31" w:rsidRDefault="00CC3C31" w:rsidP="00657E94">
      <w:r>
        <w:continuationSeparator/>
      </w:r>
    </w:p>
  </w:footnote>
  <w:footnote w:id="1">
    <w:p w14:paraId="378A39B4" w14:textId="77777777" w:rsidR="003974A2" w:rsidRPr="00A779B8" w:rsidRDefault="003974A2">
      <w:pPr>
        <w:pStyle w:val="FootnoteText"/>
        <w:rPr>
          <w:rFonts w:ascii="Times New Roman" w:hAnsi="Times New Roman"/>
          <w:sz w:val="22"/>
          <w:szCs w:val="22"/>
          <w:lang w:val="en-US"/>
        </w:rPr>
      </w:pPr>
      <w:r w:rsidRPr="00A779B8">
        <w:rPr>
          <w:rStyle w:val="FootnoteReference"/>
          <w:rFonts w:ascii="Times New Roman" w:hAnsi="Times New Roman"/>
          <w:sz w:val="22"/>
          <w:szCs w:val="22"/>
        </w:rPr>
        <w:footnoteRef/>
      </w:r>
      <w:r w:rsidRPr="00A779B8">
        <w:rPr>
          <w:rFonts w:ascii="Times New Roman" w:hAnsi="Times New Roman"/>
          <w:sz w:val="22"/>
          <w:szCs w:val="22"/>
        </w:rPr>
        <w:t xml:space="preserve"> Smith, 1776</w:t>
      </w:r>
    </w:p>
  </w:footnote>
  <w:footnote w:id="2">
    <w:p w14:paraId="4CD484C8" w14:textId="77777777" w:rsidR="003974A2" w:rsidRPr="00F32B0B" w:rsidRDefault="003974A2">
      <w:pPr>
        <w:pStyle w:val="FootnoteText"/>
        <w:rPr>
          <w:rFonts w:ascii="Times New Roman" w:hAnsi="Times New Roman"/>
          <w:sz w:val="22"/>
          <w:szCs w:val="22"/>
          <w:lang w:val="en-US"/>
        </w:rPr>
      </w:pPr>
      <w:r w:rsidRPr="00F32B0B">
        <w:rPr>
          <w:rStyle w:val="FootnoteReference"/>
          <w:rFonts w:ascii="Times New Roman" w:hAnsi="Times New Roman"/>
          <w:sz w:val="22"/>
          <w:szCs w:val="22"/>
        </w:rPr>
        <w:footnoteRef/>
      </w:r>
      <w:r w:rsidRPr="00F32B0B">
        <w:rPr>
          <w:rFonts w:ascii="Times New Roman" w:hAnsi="Times New Roman"/>
          <w:sz w:val="22"/>
          <w:szCs w:val="22"/>
        </w:rPr>
        <w:t xml:space="preserve"> </w:t>
      </w:r>
      <w:r w:rsidRPr="00F32B0B">
        <w:rPr>
          <w:rFonts w:ascii="Times New Roman" w:hAnsi="Times New Roman"/>
          <w:sz w:val="22"/>
          <w:szCs w:val="22"/>
          <w:shd w:val="clear" w:color="auto" w:fill="FFFFFF"/>
        </w:rPr>
        <w:t>Galor, 2011</w:t>
      </w:r>
    </w:p>
  </w:footnote>
  <w:footnote w:id="3">
    <w:p w14:paraId="0FF6D70F" w14:textId="77777777" w:rsidR="003974A2" w:rsidRPr="00F32B0B" w:rsidRDefault="003974A2">
      <w:pPr>
        <w:pStyle w:val="FootnoteText"/>
        <w:rPr>
          <w:rFonts w:ascii="Times New Roman" w:hAnsi="Times New Roman"/>
          <w:sz w:val="22"/>
          <w:szCs w:val="22"/>
          <w:lang w:val="en-US"/>
        </w:rPr>
      </w:pPr>
      <w:r w:rsidRPr="00F32B0B">
        <w:rPr>
          <w:rStyle w:val="FootnoteReference"/>
          <w:rFonts w:ascii="Times New Roman" w:hAnsi="Times New Roman"/>
          <w:sz w:val="22"/>
          <w:szCs w:val="22"/>
        </w:rPr>
        <w:footnoteRef/>
      </w:r>
      <w:r w:rsidRPr="00F32B0B">
        <w:rPr>
          <w:rFonts w:ascii="Times New Roman" w:hAnsi="Times New Roman"/>
          <w:sz w:val="22"/>
          <w:szCs w:val="22"/>
        </w:rPr>
        <w:t xml:space="preserve"> </w:t>
      </w:r>
      <w:r w:rsidRPr="00F32B0B">
        <w:rPr>
          <w:rFonts w:ascii="Times New Roman" w:hAnsi="Times New Roman"/>
          <w:sz w:val="22"/>
          <w:szCs w:val="22"/>
          <w:shd w:val="clear" w:color="auto" w:fill="FFFFFF"/>
        </w:rPr>
        <w:t>Galor and Moav, 2004</w:t>
      </w:r>
    </w:p>
  </w:footnote>
  <w:footnote w:id="4">
    <w:p w14:paraId="0BA50B3B" w14:textId="77777777" w:rsidR="003974A2" w:rsidRPr="00F32B0B" w:rsidRDefault="003974A2">
      <w:pPr>
        <w:pStyle w:val="FootnoteText"/>
        <w:rPr>
          <w:rFonts w:ascii="Times New Roman" w:hAnsi="Times New Roman"/>
          <w:sz w:val="22"/>
          <w:szCs w:val="22"/>
          <w:lang w:val="en-US"/>
        </w:rPr>
      </w:pPr>
      <w:r w:rsidRPr="00F32B0B">
        <w:rPr>
          <w:rStyle w:val="FootnoteReference"/>
          <w:rFonts w:ascii="Times New Roman" w:hAnsi="Times New Roman"/>
          <w:sz w:val="22"/>
          <w:szCs w:val="22"/>
        </w:rPr>
        <w:footnoteRef/>
      </w:r>
      <w:r w:rsidRPr="00F32B0B">
        <w:rPr>
          <w:rFonts w:ascii="Times New Roman" w:hAnsi="Times New Roman"/>
          <w:sz w:val="22"/>
          <w:szCs w:val="22"/>
        </w:rPr>
        <w:t xml:space="preserve"> </w:t>
      </w:r>
      <w:r w:rsidRPr="00F32B0B">
        <w:rPr>
          <w:rFonts w:ascii="Times New Roman" w:hAnsi="Times New Roman"/>
          <w:sz w:val="22"/>
          <w:szCs w:val="22"/>
          <w:shd w:val="clear" w:color="auto" w:fill="FFFFFF"/>
        </w:rPr>
        <w:t>Galor, 2011, 2009</w:t>
      </w:r>
    </w:p>
  </w:footnote>
  <w:footnote w:id="5">
    <w:p w14:paraId="55AC936D" w14:textId="77777777" w:rsidR="003974A2" w:rsidRPr="00F32B0B" w:rsidRDefault="003974A2">
      <w:pPr>
        <w:pStyle w:val="FootnoteText"/>
        <w:rPr>
          <w:rFonts w:ascii="Times New Roman" w:hAnsi="Times New Roman"/>
          <w:sz w:val="22"/>
          <w:szCs w:val="22"/>
          <w:lang w:val="en-US"/>
        </w:rPr>
      </w:pPr>
      <w:r w:rsidRPr="00F32B0B">
        <w:rPr>
          <w:rStyle w:val="FootnoteReference"/>
          <w:rFonts w:ascii="Times New Roman" w:hAnsi="Times New Roman"/>
          <w:sz w:val="22"/>
          <w:szCs w:val="22"/>
        </w:rPr>
        <w:footnoteRef/>
      </w:r>
      <w:r w:rsidRPr="00F32B0B">
        <w:rPr>
          <w:rFonts w:ascii="Times New Roman" w:hAnsi="Times New Roman"/>
          <w:sz w:val="22"/>
          <w:szCs w:val="22"/>
        </w:rPr>
        <w:t xml:space="preserve"> </w:t>
      </w:r>
      <w:r w:rsidRPr="00F32B0B">
        <w:rPr>
          <w:rFonts w:ascii="Times New Roman" w:hAnsi="Times New Roman"/>
          <w:sz w:val="22"/>
          <w:szCs w:val="22"/>
          <w:shd w:val="clear" w:color="auto" w:fill="FFFFFF"/>
        </w:rPr>
        <w:t>Keynes, 1920</w:t>
      </w:r>
    </w:p>
  </w:footnote>
  <w:footnote w:id="6">
    <w:p w14:paraId="58A090E4" w14:textId="77777777" w:rsidR="003974A2" w:rsidRPr="00F32B0B" w:rsidRDefault="003974A2">
      <w:pPr>
        <w:pStyle w:val="FootnoteText"/>
        <w:rPr>
          <w:rFonts w:ascii="Times New Roman" w:hAnsi="Times New Roman"/>
          <w:sz w:val="22"/>
          <w:szCs w:val="22"/>
          <w:lang w:val="en-US"/>
        </w:rPr>
      </w:pPr>
      <w:r w:rsidRPr="00F32B0B">
        <w:rPr>
          <w:rStyle w:val="FootnoteReference"/>
          <w:rFonts w:ascii="Times New Roman" w:hAnsi="Times New Roman"/>
          <w:sz w:val="22"/>
          <w:szCs w:val="22"/>
        </w:rPr>
        <w:footnoteRef/>
      </w:r>
      <w:r w:rsidRPr="00F32B0B">
        <w:rPr>
          <w:rFonts w:ascii="Times New Roman" w:hAnsi="Times New Roman"/>
          <w:sz w:val="22"/>
          <w:szCs w:val="22"/>
        </w:rPr>
        <w:t xml:space="preserve"> </w:t>
      </w:r>
      <w:r w:rsidRPr="00F32B0B">
        <w:rPr>
          <w:rFonts w:ascii="Times New Roman" w:hAnsi="Times New Roman"/>
          <w:sz w:val="22"/>
          <w:szCs w:val="22"/>
          <w:shd w:val="clear" w:color="auto" w:fill="FFFFFF"/>
        </w:rPr>
        <w:t>Lewis,1954</w:t>
      </w:r>
    </w:p>
  </w:footnote>
  <w:footnote w:id="7">
    <w:p w14:paraId="22E361EE" w14:textId="77777777" w:rsidR="003974A2" w:rsidRPr="00F32B0B" w:rsidRDefault="003974A2">
      <w:pPr>
        <w:pStyle w:val="FootnoteText"/>
        <w:rPr>
          <w:lang w:val="en-US"/>
        </w:rPr>
      </w:pPr>
      <w:r w:rsidRPr="00F32B0B">
        <w:rPr>
          <w:rStyle w:val="FootnoteReference"/>
          <w:rFonts w:ascii="Times New Roman" w:hAnsi="Times New Roman"/>
          <w:sz w:val="22"/>
          <w:szCs w:val="22"/>
        </w:rPr>
        <w:footnoteRef/>
      </w:r>
      <w:r w:rsidRPr="00F32B0B">
        <w:rPr>
          <w:rFonts w:ascii="Times New Roman" w:hAnsi="Times New Roman"/>
          <w:sz w:val="22"/>
          <w:szCs w:val="22"/>
        </w:rPr>
        <w:t xml:space="preserve"> </w:t>
      </w:r>
      <w:r w:rsidRPr="00F32B0B">
        <w:rPr>
          <w:rFonts w:ascii="Times New Roman" w:hAnsi="Times New Roman"/>
          <w:sz w:val="22"/>
          <w:szCs w:val="22"/>
          <w:shd w:val="clear" w:color="auto" w:fill="FFFFFF"/>
        </w:rPr>
        <w:t>Kaldor,1957</w:t>
      </w:r>
    </w:p>
  </w:footnote>
  <w:footnote w:id="8">
    <w:p w14:paraId="0830BEE8" w14:textId="77777777" w:rsidR="003974A2" w:rsidRPr="00DF6B0A" w:rsidRDefault="003974A2">
      <w:pPr>
        <w:pStyle w:val="FootnoteText"/>
        <w:rPr>
          <w:rFonts w:ascii="Times New Roman" w:hAnsi="Times New Roman"/>
          <w:sz w:val="22"/>
          <w:szCs w:val="22"/>
          <w:lang w:val="en-US"/>
        </w:rPr>
      </w:pPr>
      <w:r>
        <w:rPr>
          <w:rStyle w:val="FootnoteReference"/>
        </w:rPr>
        <w:footnoteRef/>
      </w:r>
      <w:r>
        <w:t xml:space="preserve"> </w:t>
      </w:r>
      <w:r w:rsidRPr="00DF6B0A">
        <w:rPr>
          <w:rFonts w:ascii="Times New Roman" w:hAnsi="Times New Roman"/>
          <w:sz w:val="22"/>
          <w:szCs w:val="22"/>
          <w:shd w:val="clear" w:color="auto" w:fill="FFFFFF"/>
        </w:rPr>
        <w:t>Bourguignon, 1981</w:t>
      </w:r>
    </w:p>
  </w:footnote>
  <w:footnote w:id="9">
    <w:p w14:paraId="51187CC8" w14:textId="77777777" w:rsidR="003974A2" w:rsidRPr="00DF6B0A" w:rsidRDefault="003974A2">
      <w:pPr>
        <w:pStyle w:val="FootnoteText"/>
        <w:rPr>
          <w:lang w:val="en-US"/>
        </w:rPr>
      </w:pPr>
      <w:r w:rsidRPr="00DF6B0A">
        <w:rPr>
          <w:rStyle w:val="FootnoteReference"/>
          <w:rFonts w:ascii="Times New Roman" w:hAnsi="Times New Roman"/>
          <w:sz w:val="22"/>
          <w:szCs w:val="22"/>
        </w:rPr>
        <w:footnoteRef/>
      </w:r>
      <w:r w:rsidRPr="00DF6B0A">
        <w:rPr>
          <w:rFonts w:ascii="Times New Roman" w:hAnsi="Times New Roman"/>
          <w:sz w:val="22"/>
          <w:szCs w:val="22"/>
        </w:rPr>
        <w:t xml:space="preserve"> </w:t>
      </w:r>
      <w:r w:rsidRPr="00DF6B0A">
        <w:rPr>
          <w:rFonts w:ascii="Times New Roman" w:hAnsi="Times New Roman"/>
          <w:sz w:val="22"/>
          <w:szCs w:val="22"/>
          <w:shd w:val="clear" w:color="auto" w:fill="FFFFFF"/>
        </w:rPr>
        <w:t>Galor, 2011, p. 1</w:t>
      </w:r>
    </w:p>
  </w:footnote>
  <w:footnote w:id="10">
    <w:p w14:paraId="3377EED5" w14:textId="77777777" w:rsidR="003974A2" w:rsidRPr="00DF6B0A" w:rsidRDefault="003974A2">
      <w:pPr>
        <w:pStyle w:val="FootnoteText"/>
        <w:rPr>
          <w:lang w:val="en-US"/>
        </w:rPr>
      </w:pPr>
      <w:r>
        <w:rPr>
          <w:rStyle w:val="FootnoteReference"/>
        </w:rPr>
        <w:footnoteRef/>
      </w:r>
      <w:r>
        <w:t xml:space="preserve"> </w:t>
      </w:r>
      <w:r w:rsidRPr="00DF6B0A">
        <w:rPr>
          <w:rFonts w:ascii="Times New Roman" w:hAnsi="Times New Roman"/>
          <w:sz w:val="22"/>
          <w:szCs w:val="22"/>
          <w:shd w:val="clear" w:color="auto" w:fill="FFFFFF"/>
        </w:rPr>
        <w:t>Galor,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3A066" w14:textId="77777777" w:rsidR="003974A2" w:rsidRDefault="00397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5BC1"/>
    <w:multiLevelType w:val="hybridMultilevel"/>
    <w:tmpl w:val="590A6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85F09"/>
    <w:multiLevelType w:val="hybridMultilevel"/>
    <w:tmpl w:val="3B4C3CEC"/>
    <w:lvl w:ilvl="0" w:tplc="A5620C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8018E"/>
    <w:multiLevelType w:val="multilevel"/>
    <w:tmpl w:val="7E24B4A0"/>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i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DDA726E"/>
    <w:multiLevelType w:val="hybridMultilevel"/>
    <w:tmpl w:val="7F2E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51E34"/>
    <w:multiLevelType w:val="multilevel"/>
    <w:tmpl w:val="01740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025B4A"/>
    <w:multiLevelType w:val="hybridMultilevel"/>
    <w:tmpl w:val="CABE5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E424DF"/>
    <w:multiLevelType w:val="multilevel"/>
    <w:tmpl w:val="64081CB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DF75EDB"/>
    <w:multiLevelType w:val="hybridMultilevel"/>
    <w:tmpl w:val="663C8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5A1BEA"/>
    <w:multiLevelType w:val="hybridMultilevel"/>
    <w:tmpl w:val="2944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60CAD"/>
    <w:multiLevelType w:val="hybridMultilevel"/>
    <w:tmpl w:val="24FA1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86544"/>
    <w:multiLevelType w:val="hybridMultilevel"/>
    <w:tmpl w:val="FC9EF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3013D"/>
    <w:multiLevelType w:val="hybridMultilevel"/>
    <w:tmpl w:val="6E66BC2C"/>
    <w:lvl w:ilvl="0" w:tplc="2606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C72D87"/>
    <w:multiLevelType w:val="hybridMultilevel"/>
    <w:tmpl w:val="FF108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B5AC2"/>
    <w:multiLevelType w:val="hybridMultilevel"/>
    <w:tmpl w:val="25C8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D714A8"/>
    <w:multiLevelType w:val="multilevel"/>
    <w:tmpl w:val="01740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9650A0"/>
    <w:multiLevelType w:val="multilevel"/>
    <w:tmpl w:val="64081CB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2C859F9"/>
    <w:multiLevelType w:val="hybridMultilevel"/>
    <w:tmpl w:val="DFFC8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2616A6"/>
    <w:multiLevelType w:val="hybridMultilevel"/>
    <w:tmpl w:val="AC3A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286129"/>
    <w:multiLevelType w:val="hybridMultilevel"/>
    <w:tmpl w:val="62304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1F44E5"/>
    <w:multiLevelType w:val="hybridMultilevel"/>
    <w:tmpl w:val="7374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5F058E"/>
    <w:multiLevelType w:val="hybridMultilevel"/>
    <w:tmpl w:val="0EC27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4"/>
  </w:num>
  <w:num w:numId="4">
    <w:abstractNumId w:val="17"/>
  </w:num>
  <w:num w:numId="5">
    <w:abstractNumId w:val="10"/>
  </w:num>
  <w:num w:numId="6">
    <w:abstractNumId w:val="12"/>
  </w:num>
  <w:num w:numId="7">
    <w:abstractNumId w:val="13"/>
  </w:num>
  <w:num w:numId="8">
    <w:abstractNumId w:val="11"/>
  </w:num>
  <w:num w:numId="9">
    <w:abstractNumId w:val="20"/>
  </w:num>
  <w:num w:numId="10">
    <w:abstractNumId w:val="8"/>
  </w:num>
  <w:num w:numId="11">
    <w:abstractNumId w:val="19"/>
  </w:num>
  <w:num w:numId="12">
    <w:abstractNumId w:val="3"/>
  </w:num>
  <w:num w:numId="13">
    <w:abstractNumId w:val="9"/>
  </w:num>
  <w:num w:numId="14">
    <w:abstractNumId w:val="0"/>
  </w:num>
  <w:num w:numId="15">
    <w:abstractNumId w:val="6"/>
  </w:num>
  <w:num w:numId="16">
    <w:abstractNumId w:val="16"/>
  </w:num>
  <w:num w:numId="17">
    <w:abstractNumId w:val="14"/>
  </w:num>
  <w:num w:numId="18">
    <w:abstractNumId w:val="15"/>
  </w:num>
  <w:num w:numId="19">
    <w:abstractNumId w:val="1"/>
  </w:num>
  <w:num w:numId="20">
    <w:abstractNumId w:val="5"/>
  </w:num>
  <w:num w:numId="2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B9"/>
    <w:rsid w:val="0000190B"/>
    <w:rsid w:val="000019E5"/>
    <w:rsid w:val="00005E3E"/>
    <w:rsid w:val="000065B6"/>
    <w:rsid w:val="00006944"/>
    <w:rsid w:val="000069F1"/>
    <w:rsid w:val="00007103"/>
    <w:rsid w:val="00007EF6"/>
    <w:rsid w:val="000112E5"/>
    <w:rsid w:val="00011834"/>
    <w:rsid w:val="000135B9"/>
    <w:rsid w:val="00017D9F"/>
    <w:rsid w:val="00020217"/>
    <w:rsid w:val="0002213F"/>
    <w:rsid w:val="00022888"/>
    <w:rsid w:val="00022A5B"/>
    <w:rsid w:val="00023B27"/>
    <w:rsid w:val="00023C9F"/>
    <w:rsid w:val="000247A9"/>
    <w:rsid w:val="00024DE3"/>
    <w:rsid w:val="00026319"/>
    <w:rsid w:val="00030DC9"/>
    <w:rsid w:val="00031DFF"/>
    <w:rsid w:val="000322F2"/>
    <w:rsid w:val="000349D3"/>
    <w:rsid w:val="00035B90"/>
    <w:rsid w:val="000367A3"/>
    <w:rsid w:val="00036CF6"/>
    <w:rsid w:val="000400A8"/>
    <w:rsid w:val="00040449"/>
    <w:rsid w:val="000414D7"/>
    <w:rsid w:val="00042198"/>
    <w:rsid w:val="00042559"/>
    <w:rsid w:val="00042DD8"/>
    <w:rsid w:val="00042E8B"/>
    <w:rsid w:val="00043B54"/>
    <w:rsid w:val="00043B66"/>
    <w:rsid w:val="00044234"/>
    <w:rsid w:val="000444CB"/>
    <w:rsid w:val="00045165"/>
    <w:rsid w:val="00047E35"/>
    <w:rsid w:val="000501C6"/>
    <w:rsid w:val="000502A0"/>
    <w:rsid w:val="00050E16"/>
    <w:rsid w:val="000519C4"/>
    <w:rsid w:val="00055522"/>
    <w:rsid w:val="000558DF"/>
    <w:rsid w:val="00055E1A"/>
    <w:rsid w:val="000560E3"/>
    <w:rsid w:val="00057DF2"/>
    <w:rsid w:val="00061B9E"/>
    <w:rsid w:val="000627F7"/>
    <w:rsid w:val="000656E2"/>
    <w:rsid w:val="0006585F"/>
    <w:rsid w:val="000662D8"/>
    <w:rsid w:val="00070133"/>
    <w:rsid w:val="00072CBA"/>
    <w:rsid w:val="00075B91"/>
    <w:rsid w:val="00076CFD"/>
    <w:rsid w:val="00076EF0"/>
    <w:rsid w:val="00077AEB"/>
    <w:rsid w:val="00080BB2"/>
    <w:rsid w:val="00081534"/>
    <w:rsid w:val="00081D30"/>
    <w:rsid w:val="00082E57"/>
    <w:rsid w:val="00085DFD"/>
    <w:rsid w:val="00085EA9"/>
    <w:rsid w:val="00086546"/>
    <w:rsid w:val="00087192"/>
    <w:rsid w:val="00090477"/>
    <w:rsid w:val="000905A1"/>
    <w:rsid w:val="00091747"/>
    <w:rsid w:val="00093A1A"/>
    <w:rsid w:val="00095847"/>
    <w:rsid w:val="00095CE0"/>
    <w:rsid w:val="000A14E8"/>
    <w:rsid w:val="000A1D4F"/>
    <w:rsid w:val="000A2A6F"/>
    <w:rsid w:val="000A2CE9"/>
    <w:rsid w:val="000A31F4"/>
    <w:rsid w:val="000A4687"/>
    <w:rsid w:val="000A4AB3"/>
    <w:rsid w:val="000A59CC"/>
    <w:rsid w:val="000A6917"/>
    <w:rsid w:val="000A6AB6"/>
    <w:rsid w:val="000A7519"/>
    <w:rsid w:val="000A79EE"/>
    <w:rsid w:val="000B03B6"/>
    <w:rsid w:val="000B0964"/>
    <w:rsid w:val="000B1CD7"/>
    <w:rsid w:val="000B3BCE"/>
    <w:rsid w:val="000B41F9"/>
    <w:rsid w:val="000B4864"/>
    <w:rsid w:val="000B5B71"/>
    <w:rsid w:val="000B6807"/>
    <w:rsid w:val="000C3322"/>
    <w:rsid w:val="000C56CC"/>
    <w:rsid w:val="000C6442"/>
    <w:rsid w:val="000D00C9"/>
    <w:rsid w:val="000D12E3"/>
    <w:rsid w:val="000D3091"/>
    <w:rsid w:val="000D35AB"/>
    <w:rsid w:val="000D3DAE"/>
    <w:rsid w:val="000D4470"/>
    <w:rsid w:val="000D4611"/>
    <w:rsid w:val="000D5F3F"/>
    <w:rsid w:val="000D6275"/>
    <w:rsid w:val="000D7608"/>
    <w:rsid w:val="000E18D9"/>
    <w:rsid w:val="000E22A7"/>
    <w:rsid w:val="000E2D99"/>
    <w:rsid w:val="000E3C70"/>
    <w:rsid w:val="000E4F6E"/>
    <w:rsid w:val="000E6509"/>
    <w:rsid w:val="000E65F7"/>
    <w:rsid w:val="000E7865"/>
    <w:rsid w:val="000E7918"/>
    <w:rsid w:val="000F09A8"/>
    <w:rsid w:val="000F0BE6"/>
    <w:rsid w:val="000F1228"/>
    <w:rsid w:val="000F2958"/>
    <w:rsid w:val="000F3F65"/>
    <w:rsid w:val="000F3F86"/>
    <w:rsid w:val="000F4954"/>
    <w:rsid w:val="000F59DB"/>
    <w:rsid w:val="000F5BEB"/>
    <w:rsid w:val="000F62B7"/>
    <w:rsid w:val="000F750D"/>
    <w:rsid w:val="001008F4"/>
    <w:rsid w:val="00102EA8"/>
    <w:rsid w:val="00102FD2"/>
    <w:rsid w:val="001033B1"/>
    <w:rsid w:val="00103671"/>
    <w:rsid w:val="00105B21"/>
    <w:rsid w:val="0010653F"/>
    <w:rsid w:val="00106693"/>
    <w:rsid w:val="00106A37"/>
    <w:rsid w:val="001118CD"/>
    <w:rsid w:val="00112C14"/>
    <w:rsid w:val="00112E65"/>
    <w:rsid w:val="001138E6"/>
    <w:rsid w:val="001142E5"/>
    <w:rsid w:val="001143C4"/>
    <w:rsid w:val="001146B7"/>
    <w:rsid w:val="00115E0A"/>
    <w:rsid w:val="00115F37"/>
    <w:rsid w:val="001179CA"/>
    <w:rsid w:val="00121C39"/>
    <w:rsid w:val="001237A6"/>
    <w:rsid w:val="001241C5"/>
    <w:rsid w:val="001248E2"/>
    <w:rsid w:val="00125DBE"/>
    <w:rsid w:val="0013076B"/>
    <w:rsid w:val="001308F3"/>
    <w:rsid w:val="00130A3B"/>
    <w:rsid w:val="0013117D"/>
    <w:rsid w:val="001331F7"/>
    <w:rsid w:val="00133DBA"/>
    <w:rsid w:val="00134A25"/>
    <w:rsid w:val="00134BD7"/>
    <w:rsid w:val="00134DD0"/>
    <w:rsid w:val="001356B5"/>
    <w:rsid w:val="00135998"/>
    <w:rsid w:val="001364B9"/>
    <w:rsid w:val="0013785F"/>
    <w:rsid w:val="00137E41"/>
    <w:rsid w:val="001423B8"/>
    <w:rsid w:val="00146553"/>
    <w:rsid w:val="00147FAF"/>
    <w:rsid w:val="0015232C"/>
    <w:rsid w:val="00152E6B"/>
    <w:rsid w:val="00152FB3"/>
    <w:rsid w:val="00153AAA"/>
    <w:rsid w:val="001546AB"/>
    <w:rsid w:val="00155DEB"/>
    <w:rsid w:val="00156794"/>
    <w:rsid w:val="00157673"/>
    <w:rsid w:val="00157721"/>
    <w:rsid w:val="00157E89"/>
    <w:rsid w:val="00157F98"/>
    <w:rsid w:val="00161141"/>
    <w:rsid w:val="0016325E"/>
    <w:rsid w:val="00163EF6"/>
    <w:rsid w:val="001648D7"/>
    <w:rsid w:val="0016582F"/>
    <w:rsid w:val="00166359"/>
    <w:rsid w:val="00166A80"/>
    <w:rsid w:val="00171250"/>
    <w:rsid w:val="00171993"/>
    <w:rsid w:val="00174A76"/>
    <w:rsid w:val="00174C87"/>
    <w:rsid w:val="001750CD"/>
    <w:rsid w:val="00176AFB"/>
    <w:rsid w:val="00180211"/>
    <w:rsid w:val="0018254D"/>
    <w:rsid w:val="0018364B"/>
    <w:rsid w:val="001858C3"/>
    <w:rsid w:val="00186AD7"/>
    <w:rsid w:val="00187C5C"/>
    <w:rsid w:val="00187DD7"/>
    <w:rsid w:val="00187F52"/>
    <w:rsid w:val="0019072C"/>
    <w:rsid w:val="00190F62"/>
    <w:rsid w:val="001916C1"/>
    <w:rsid w:val="0019209F"/>
    <w:rsid w:val="001923BA"/>
    <w:rsid w:val="00192B4B"/>
    <w:rsid w:val="00192E61"/>
    <w:rsid w:val="0019302F"/>
    <w:rsid w:val="001935B2"/>
    <w:rsid w:val="001952A6"/>
    <w:rsid w:val="0019618B"/>
    <w:rsid w:val="00197D4A"/>
    <w:rsid w:val="001A13DD"/>
    <w:rsid w:val="001A283D"/>
    <w:rsid w:val="001A3DCC"/>
    <w:rsid w:val="001A52DE"/>
    <w:rsid w:val="001A6792"/>
    <w:rsid w:val="001A6AB9"/>
    <w:rsid w:val="001B1020"/>
    <w:rsid w:val="001B27A0"/>
    <w:rsid w:val="001B2CAE"/>
    <w:rsid w:val="001B2F9E"/>
    <w:rsid w:val="001B58DC"/>
    <w:rsid w:val="001B5A8E"/>
    <w:rsid w:val="001B6188"/>
    <w:rsid w:val="001B6379"/>
    <w:rsid w:val="001B6CEC"/>
    <w:rsid w:val="001B7904"/>
    <w:rsid w:val="001B7C1A"/>
    <w:rsid w:val="001C0E9B"/>
    <w:rsid w:val="001C167E"/>
    <w:rsid w:val="001C2F3A"/>
    <w:rsid w:val="001C3060"/>
    <w:rsid w:val="001C3950"/>
    <w:rsid w:val="001C5DD2"/>
    <w:rsid w:val="001C6013"/>
    <w:rsid w:val="001C65E7"/>
    <w:rsid w:val="001C6708"/>
    <w:rsid w:val="001C7A5F"/>
    <w:rsid w:val="001D0477"/>
    <w:rsid w:val="001D08E5"/>
    <w:rsid w:val="001D1160"/>
    <w:rsid w:val="001D1E35"/>
    <w:rsid w:val="001D372C"/>
    <w:rsid w:val="001D3C54"/>
    <w:rsid w:val="001D53E4"/>
    <w:rsid w:val="001D5BF3"/>
    <w:rsid w:val="001D63F0"/>
    <w:rsid w:val="001D6478"/>
    <w:rsid w:val="001D6A0D"/>
    <w:rsid w:val="001E0444"/>
    <w:rsid w:val="001E0528"/>
    <w:rsid w:val="001E18CA"/>
    <w:rsid w:val="001E1D6F"/>
    <w:rsid w:val="001E40CA"/>
    <w:rsid w:val="001E4B4B"/>
    <w:rsid w:val="001E4CB8"/>
    <w:rsid w:val="001E5C51"/>
    <w:rsid w:val="001E5EE1"/>
    <w:rsid w:val="001E67E0"/>
    <w:rsid w:val="001E76B6"/>
    <w:rsid w:val="001F05E0"/>
    <w:rsid w:val="001F1148"/>
    <w:rsid w:val="001F3143"/>
    <w:rsid w:val="001F428E"/>
    <w:rsid w:val="001F46AB"/>
    <w:rsid w:val="001F5858"/>
    <w:rsid w:val="001F6C52"/>
    <w:rsid w:val="001F6DF4"/>
    <w:rsid w:val="001F73EA"/>
    <w:rsid w:val="001F77F1"/>
    <w:rsid w:val="002021B9"/>
    <w:rsid w:val="00202916"/>
    <w:rsid w:val="00202BE4"/>
    <w:rsid w:val="002041F7"/>
    <w:rsid w:val="00204DC5"/>
    <w:rsid w:val="00205989"/>
    <w:rsid w:val="00206B49"/>
    <w:rsid w:val="002070CD"/>
    <w:rsid w:val="0021024C"/>
    <w:rsid w:val="00210606"/>
    <w:rsid w:val="002114AA"/>
    <w:rsid w:val="002129B5"/>
    <w:rsid w:val="00212BE8"/>
    <w:rsid w:val="00214177"/>
    <w:rsid w:val="00215212"/>
    <w:rsid w:val="00215683"/>
    <w:rsid w:val="00215911"/>
    <w:rsid w:val="002175CB"/>
    <w:rsid w:val="00217D87"/>
    <w:rsid w:val="00222418"/>
    <w:rsid w:val="00222ED8"/>
    <w:rsid w:val="002231CA"/>
    <w:rsid w:val="00226806"/>
    <w:rsid w:val="00226FAF"/>
    <w:rsid w:val="00227159"/>
    <w:rsid w:val="002278B1"/>
    <w:rsid w:val="00227914"/>
    <w:rsid w:val="00227D2A"/>
    <w:rsid w:val="00230091"/>
    <w:rsid w:val="00230AE1"/>
    <w:rsid w:val="002312ED"/>
    <w:rsid w:val="00231DB2"/>
    <w:rsid w:val="002321B6"/>
    <w:rsid w:val="00232225"/>
    <w:rsid w:val="0023232D"/>
    <w:rsid w:val="00232408"/>
    <w:rsid w:val="002332E5"/>
    <w:rsid w:val="00233B20"/>
    <w:rsid w:val="00234206"/>
    <w:rsid w:val="00235CF4"/>
    <w:rsid w:val="00236D94"/>
    <w:rsid w:val="002373D5"/>
    <w:rsid w:val="002374AE"/>
    <w:rsid w:val="00237B88"/>
    <w:rsid w:val="00240068"/>
    <w:rsid w:val="0024039F"/>
    <w:rsid w:val="00242C59"/>
    <w:rsid w:val="00243CDC"/>
    <w:rsid w:val="002440A7"/>
    <w:rsid w:val="00244DE2"/>
    <w:rsid w:val="00246CC7"/>
    <w:rsid w:val="00250B1B"/>
    <w:rsid w:val="00251B2D"/>
    <w:rsid w:val="00253561"/>
    <w:rsid w:val="00254ADF"/>
    <w:rsid w:val="00257047"/>
    <w:rsid w:val="00257423"/>
    <w:rsid w:val="00260D56"/>
    <w:rsid w:val="0026244B"/>
    <w:rsid w:val="00262754"/>
    <w:rsid w:val="00262B93"/>
    <w:rsid w:val="002651AF"/>
    <w:rsid w:val="002652FF"/>
    <w:rsid w:val="00265E2D"/>
    <w:rsid w:val="002672F9"/>
    <w:rsid w:val="00267F1B"/>
    <w:rsid w:val="002703E2"/>
    <w:rsid w:val="00270D8B"/>
    <w:rsid w:val="002711DB"/>
    <w:rsid w:val="00272A67"/>
    <w:rsid w:val="002731DD"/>
    <w:rsid w:val="002742CC"/>
    <w:rsid w:val="00274AB1"/>
    <w:rsid w:val="002753D8"/>
    <w:rsid w:val="0027591C"/>
    <w:rsid w:val="00281015"/>
    <w:rsid w:val="002814C7"/>
    <w:rsid w:val="00281BDF"/>
    <w:rsid w:val="00281DEF"/>
    <w:rsid w:val="002824FB"/>
    <w:rsid w:val="00282BAB"/>
    <w:rsid w:val="00283617"/>
    <w:rsid w:val="00284238"/>
    <w:rsid w:val="00286257"/>
    <w:rsid w:val="002903BA"/>
    <w:rsid w:val="00291FC8"/>
    <w:rsid w:val="002929EB"/>
    <w:rsid w:val="002931AB"/>
    <w:rsid w:val="002943E0"/>
    <w:rsid w:val="002944E0"/>
    <w:rsid w:val="002959A0"/>
    <w:rsid w:val="00297814"/>
    <w:rsid w:val="002A075E"/>
    <w:rsid w:val="002A0F22"/>
    <w:rsid w:val="002A19E7"/>
    <w:rsid w:val="002A26D8"/>
    <w:rsid w:val="002A2E38"/>
    <w:rsid w:val="002A7294"/>
    <w:rsid w:val="002A772D"/>
    <w:rsid w:val="002B04C1"/>
    <w:rsid w:val="002B2567"/>
    <w:rsid w:val="002B2C01"/>
    <w:rsid w:val="002B686E"/>
    <w:rsid w:val="002B6A9A"/>
    <w:rsid w:val="002B79B5"/>
    <w:rsid w:val="002C2991"/>
    <w:rsid w:val="002C2CB0"/>
    <w:rsid w:val="002C2CDF"/>
    <w:rsid w:val="002C4402"/>
    <w:rsid w:val="002C4787"/>
    <w:rsid w:val="002C4A64"/>
    <w:rsid w:val="002C504A"/>
    <w:rsid w:val="002C57E9"/>
    <w:rsid w:val="002C7382"/>
    <w:rsid w:val="002C7FAF"/>
    <w:rsid w:val="002D0A59"/>
    <w:rsid w:val="002D207A"/>
    <w:rsid w:val="002D48C3"/>
    <w:rsid w:val="002D506F"/>
    <w:rsid w:val="002E01BB"/>
    <w:rsid w:val="002E02BF"/>
    <w:rsid w:val="002E0F26"/>
    <w:rsid w:val="002E1842"/>
    <w:rsid w:val="002E2554"/>
    <w:rsid w:val="002E3C0F"/>
    <w:rsid w:val="002E3D8E"/>
    <w:rsid w:val="002E4923"/>
    <w:rsid w:val="002E7EEA"/>
    <w:rsid w:val="002F076F"/>
    <w:rsid w:val="002F1124"/>
    <w:rsid w:val="002F275D"/>
    <w:rsid w:val="002F440C"/>
    <w:rsid w:val="00300421"/>
    <w:rsid w:val="00300819"/>
    <w:rsid w:val="00302D58"/>
    <w:rsid w:val="00303B43"/>
    <w:rsid w:val="00304A29"/>
    <w:rsid w:val="00305AF9"/>
    <w:rsid w:val="00306FF2"/>
    <w:rsid w:val="00307229"/>
    <w:rsid w:val="003074B6"/>
    <w:rsid w:val="003100B0"/>
    <w:rsid w:val="003104AA"/>
    <w:rsid w:val="00311162"/>
    <w:rsid w:val="003116D5"/>
    <w:rsid w:val="00312DBD"/>
    <w:rsid w:val="003137B4"/>
    <w:rsid w:val="00315D9B"/>
    <w:rsid w:val="0031678B"/>
    <w:rsid w:val="00316974"/>
    <w:rsid w:val="003169E0"/>
    <w:rsid w:val="00316F1C"/>
    <w:rsid w:val="00320A19"/>
    <w:rsid w:val="003218A3"/>
    <w:rsid w:val="00322120"/>
    <w:rsid w:val="003228E1"/>
    <w:rsid w:val="00323C48"/>
    <w:rsid w:val="003252FA"/>
    <w:rsid w:val="0032539A"/>
    <w:rsid w:val="003256F1"/>
    <w:rsid w:val="00325D9D"/>
    <w:rsid w:val="00326299"/>
    <w:rsid w:val="003270FA"/>
    <w:rsid w:val="003275EE"/>
    <w:rsid w:val="00327B40"/>
    <w:rsid w:val="00330A76"/>
    <w:rsid w:val="00330EC6"/>
    <w:rsid w:val="003313C0"/>
    <w:rsid w:val="00331B14"/>
    <w:rsid w:val="00332922"/>
    <w:rsid w:val="0033455E"/>
    <w:rsid w:val="00334E07"/>
    <w:rsid w:val="00335672"/>
    <w:rsid w:val="00336416"/>
    <w:rsid w:val="003372C6"/>
    <w:rsid w:val="00340D7C"/>
    <w:rsid w:val="00341DD8"/>
    <w:rsid w:val="00342E7E"/>
    <w:rsid w:val="00344195"/>
    <w:rsid w:val="00344DF5"/>
    <w:rsid w:val="00345D16"/>
    <w:rsid w:val="00347789"/>
    <w:rsid w:val="00347AFA"/>
    <w:rsid w:val="003513A9"/>
    <w:rsid w:val="00351684"/>
    <w:rsid w:val="00353DD6"/>
    <w:rsid w:val="003567BC"/>
    <w:rsid w:val="003569F1"/>
    <w:rsid w:val="0036052D"/>
    <w:rsid w:val="00360FF5"/>
    <w:rsid w:val="0036225D"/>
    <w:rsid w:val="00362777"/>
    <w:rsid w:val="00362ABC"/>
    <w:rsid w:val="00363FE0"/>
    <w:rsid w:val="003645A3"/>
    <w:rsid w:val="0037041D"/>
    <w:rsid w:val="00370B9C"/>
    <w:rsid w:val="00370DA7"/>
    <w:rsid w:val="003713BF"/>
    <w:rsid w:val="003716B5"/>
    <w:rsid w:val="00371ABC"/>
    <w:rsid w:val="00372C97"/>
    <w:rsid w:val="0037347A"/>
    <w:rsid w:val="003758DE"/>
    <w:rsid w:val="003767F7"/>
    <w:rsid w:val="00377A47"/>
    <w:rsid w:val="00380A60"/>
    <w:rsid w:val="003822FA"/>
    <w:rsid w:val="00382A9D"/>
    <w:rsid w:val="0038426E"/>
    <w:rsid w:val="0038455A"/>
    <w:rsid w:val="00384882"/>
    <w:rsid w:val="003849D7"/>
    <w:rsid w:val="00384DE9"/>
    <w:rsid w:val="00385289"/>
    <w:rsid w:val="003857E7"/>
    <w:rsid w:val="00386818"/>
    <w:rsid w:val="00387530"/>
    <w:rsid w:val="003921FE"/>
    <w:rsid w:val="0039502F"/>
    <w:rsid w:val="00395F31"/>
    <w:rsid w:val="003974A2"/>
    <w:rsid w:val="003A0270"/>
    <w:rsid w:val="003A05AB"/>
    <w:rsid w:val="003A0C43"/>
    <w:rsid w:val="003A1153"/>
    <w:rsid w:val="003A2AED"/>
    <w:rsid w:val="003A4333"/>
    <w:rsid w:val="003A5943"/>
    <w:rsid w:val="003B0CAF"/>
    <w:rsid w:val="003B1FC9"/>
    <w:rsid w:val="003B2109"/>
    <w:rsid w:val="003B2629"/>
    <w:rsid w:val="003B4736"/>
    <w:rsid w:val="003B6958"/>
    <w:rsid w:val="003C0455"/>
    <w:rsid w:val="003C1A4A"/>
    <w:rsid w:val="003C2D24"/>
    <w:rsid w:val="003C2E36"/>
    <w:rsid w:val="003C36DB"/>
    <w:rsid w:val="003C494E"/>
    <w:rsid w:val="003C6E8E"/>
    <w:rsid w:val="003C6F61"/>
    <w:rsid w:val="003C7132"/>
    <w:rsid w:val="003D03D7"/>
    <w:rsid w:val="003D0536"/>
    <w:rsid w:val="003D0D49"/>
    <w:rsid w:val="003D0F65"/>
    <w:rsid w:val="003D32B5"/>
    <w:rsid w:val="003D35F7"/>
    <w:rsid w:val="003D4CD1"/>
    <w:rsid w:val="003D53C0"/>
    <w:rsid w:val="003D5582"/>
    <w:rsid w:val="003D7290"/>
    <w:rsid w:val="003D775E"/>
    <w:rsid w:val="003E013C"/>
    <w:rsid w:val="003E07F5"/>
    <w:rsid w:val="003E132D"/>
    <w:rsid w:val="003E2077"/>
    <w:rsid w:val="003E2127"/>
    <w:rsid w:val="003E2500"/>
    <w:rsid w:val="003E3C68"/>
    <w:rsid w:val="003E4950"/>
    <w:rsid w:val="003E4DDF"/>
    <w:rsid w:val="003E737D"/>
    <w:rsid w:val="003E7662"/>
    <w:rsid w:val="003E781C"/>
    <w:rsid w:val="003F08EA"/>
    <w:rsid w:val="003F10B5"/>
    <w:rsid w:val="003F13FF"/>
    <w:rsid w:val="003F1BEC"/>
    <w:rsid w:val="003F1DEA"/>
    <w:rsid w:val="003F33F0"/>
    <w:rsid w:val="003F471E"/>
    <w:rsid w:val="003F5649"/>
    <w:rsid w:val="003F5FF5"/>
    <w:rsid w:val="004001A6"/>
    <w:rsid w:val="0040351D"/>
    <w:rsid w:val="00404878"/>
    <w:rsid w:val="00404E47"/>
    <w:rsid w:val="00406C20"/>
    <w:rsid w:val="00410431"/>
    <w:rsid w:val="004130AC"/>
    <w:rsid w:val="0041464B"/>
    <w:rsid w:val="00414DE2"/>
    <w:rsid w:val="004154E8"/>
    <w:rsid w:val="00416169"/>
    <w:rsid w:val="004166D4"/>
    <w:rsid w:val="00416B01"/>
    <w:rsid w:val="004202CC"/>
    <w:rsid w:val="00420365"/>
    <w:rsid w:val="004230D0"/>
    <w:rsid w:val="004241EE"/>
    <w:rsid w:val="00424AAE"/>
    <w:rsid w:val="004257D8"/>
    <w:rsid w:val="00426073"/>
    <w:rsid w:val="00427066"/>
    <w:rsid w:val="004272CD"/>
    <w:rsid w:val="00427E0B"/>
    <w:rsid w:val="004300F8"/>
    <w:rsid w:val="004313CF"/>
    <w:rsid w:val="004324CB"/>
    <w:rsid w:val="004324F4"/>
    <w:rsid w:val="0043358E"/>
    <w:rsid w:val="0043579A"/>
    <w:rsid w:val="00435FBE"/>
    <w:rsid w:val="004362F7"/>
    <w:rsid w:val="00436F78"/>
    <w:rsid w:val="00437A27"/>
    <w:rsid w:val="00437B0D"/>
    <w:rsid w:val="00437F72"/>
    <w:rsid w:val="004402B7"/>
    <w:rsid w:val="004422EA"/>
    <w:rsid w:val="0044496B"/>
    <w:rsid w:val="00444A52"/>
    <w:rsid w:val="00447170"/>
    <w:rsid w:val="00447F86"/>
    <w:rsid w:val="00450095"/>
    <w:rsid w:val="004509CA"/>
    <w:rsid w:val="004512E5"/>
    <w:rsid w:val="00451767"/>
    <w:rsid w:val="00451883"/>
    <w:rsid w:val="004530EB"/>
    <w:rsid w:val="004544E8"/>
    <w:rsid w:val="00456A8E"/>
    <w:rsid w:val="00456BB0"/>
    <w:rsid w:val="00457015"/>
    <w:rsid w:val="00457B3A"/>
    <w:rsid w:val="00457EE6"/>
    <w:rsid w:val="00460121"/>
    <w:rsid w:val="004636AE"/>
    <w:rsid w:val="004655F2"/>
    <w:rsid w:val="00466247"/>
    <w:rsid w:val="00466277"/>
    <w:rsid w:val="00466E4A"/>
    <w:rsid w:val="004672B5"/>
    <w:rsid w:val="004724D9"/>
    <w:rsid w:val="004735C4"/>
    <w:rsid w:val="00475A26"/>
    <w:rsid w:val="00475D40"/>
    <w:rsid w:val="0047644E"/>
    <w:rsid w:val="00476DFD"/>
    <w:rsid w:val="0047706C"/>
    <w:rsid w:val="0047745B"/>
    <w:rsid w:val="0047767D"/>
    <w:rsid w:val="0047775D"/>
    <w:rsid w:val="004820A2"/>
    <w:rsid w:val="00482C05"/>
    <w:rsid w:val="004843F8"/>
    <w:rsid w:val="00486BD3"/>
    <w:rsid w:val="00487109"/>
    <w:rsid w:val="004901C2"/>
    <w:rsid w:val="004908A8"/>
    <w:rsid w:val="00493C3A"/>
    <w:rsid w:val="00496065"/>
    <w:rsid w:val="00496CE7"/>
    <w:rsid w:val="0049765F"/>
    <w:rsid w:val="004A1A2F"/>
    <w:rsid w:val="004A1C04"/>
    <w:rsid w:val="004A222C"/>
    <w:rsid w:val="004A242B"/>
    <w:rsid w:val="004A3A7D"/>
    <w:rsid w:val="004A5290"/>
    <w:rsid w:val="004A7430"/>
    <w:rsid w:val="004B06D9"/>
    <w:rsid w:val="004B0F25"/>
    <w:rsid w:val="004B1D34"/>
    <w:rsid w:val="004B53AC"/>
    <w:rsid w:val="004B6782"/>
    <w:rsid w:val="004B708B"/>
    <w:rsid w:val="004C004C"/>
    <w:rsid w:val="004C006E"/>
    <w:rsid w:val="004C14A1"/>
    <w:rsid w:val="004C27F1"/>
    <w:rsid w:val="004C2DD7"/>
    <w:rsid w:val="004C3190"/>
    <w:rsid w:val="004C3B8E"/>
    <w:rsid w:val="004C6170"/>
    <w:rsid w:val="004C6812"/>
    <w:rsid w:val="004C6AAD"/>
    <w:rsid w:val="004C73D0"/>
    <w:rsid w:val="004D1C5A"/>
    <w:rsid w:val="004D2838"/>
    <w:rsid w:val="004D3D37"/>
    <w:rsid w:val="004D4D41"/>
    <w:rsid w:val="004D57F8"/>
    <w:rsid w:val="004D70D4"/>
    <w:rsid w:val="004D71E3"/>
    <w:rsid w:val="004D72C9"/>
    <w:rsid w:val="004D7372"/>
    <w:rsid w:val="004D77D6"/>
    <w:rsid w:val="004D791B"/>
    <w:rsid w:val="004D7B30"/>
    <w:rsid w:val="004D7CCF"/>
    <w:rsid w:val="004E0A86"/>
    <w:rsid w:val="004E1187"/>
    <w:rsid w:val="004E1CB9"/>
    <w:rsid w:val="004E2CE2"/>
    <w:rsid w:val="004E2F11"/>
    <w:rsid w:val="004E54EE"/>
    <w:rsid w:val="004E629E"/>
    <w:rsid w:val="004E65EB"/>
    <w:rsid w:val="004E731C"/>
    <w:rsid w:val="004E7EC8"/>
    <w:rsid w:val="004F17BF"/>
    <w:rsid w:val="004F2C89"/>
    <w:rsid w:val="004F306B"/>
    <w:rsid w:val="004F3C06"/>
    <w:rsid w:val="004F3E46"/>
    <w:rsid w:val="004F5647"/>
    <w:rsid w:val="004F63DE"/>
    <w:rsid w:val="004F72DB"/>
    <w:rsid w:val="0050046C"/>
    <w:rsid w:val="00500B25"/>
    <w:rsid w:val="005014D4"/>
    <w:rsid w:val="00502E72"/>
    <w:rsid w:val="005030A3"/>
    <w:rsid w:val="0050780C"/>
    <w:rsid w:val="00507F60"/>
    <w:rsid w:val="00511201"/>
    <w:rsid w:val="0051145C"/>
    <w:rsid w:val="005126F7"/>
    <w:rsid w:val="00513843"/>
    <w:rsid w:val="00514E1B"/>
    <w:rsid w:val="00515515"/>
    <w:rsid w:val="00515B0C"/>
    <w:rsid w:val="0051667A"/>
    <w:rsid w:val="00516966"/>
    <w:rsid w:val="00517705"/>
    <w:rsid w:val="00517B84"/>
    <w:rsid w:val="00520078"/>
    <w:rsid w:val="005201BA"/>
    <w:rsid w:val="00520974"/>
    <w:rsid w:val="00520F4D"/>
    <w:rsid w:val="00521684"/>
    <w:rsid w:val="00522B80"/>
    <w:rsid w:val="005236A1"/>
    <w:rsid w:val="00523ACE"/>
    <w:rsid w:val="00523F14"/>
    <w:rsid w:val="00524EF8"/>
    <w:rsid w:val="00530071"/>
    <w:rsid w:val="00531A8F"/>
    <w:rsid w:val="00531F4C"/>
    <w:rsid w:val="005326BC"/>
    <w:rsid w:val="005330EB"/>
    <w:rsid w:val="00536DE3"/>
    <w:rsid w:val="005372E8"/>
    <w:rsid w:val="00537370"/>
    <w:rsid w:val="005373FD"/>
    <w:rsid w:val="0053785B"/>
    <w:rsid w:val="00537D2A"/>
    <w:rsid w:val="00537D55"/>
    <w:rsid w:val="00537E00"/>
    <w:rsid w:val="0054077C"/>
    <w:rsid w:val="00540B61"/>
    <w:rsid w:val="00541585"/>
    <w:rsid w:val="00541DB0"/>
    <w:rsid w:val="00542F28"/>
    <w:rsid w:val="00543375"/>
    <w:rsid w:val="00543B81"/>
    <w:rsid w:val="00543FD3"/>
    <w:rsid w:val="0054401B"/>
    <w:rsid w:val="00546CFE"/>
    <w:rsid w:val="005471DC"/>
    <w:rsid w:val="00547B21"/>
    <w:rsid w:val="00551329"/>
    <w:rsid w:val="0055295E"/>
    <w:rsid w:val="005529DD"/>
    <w:rsid w:val="00554234"/>
    <w:rsid w:val="005561D3"/>
    <w:rsid w:val="00556F18"/>
    <w:rsid w:val="005572E1"/>
    <w:rsid w:val="005574F0"/>
    <w:rsid w:val="00560CE1"/>
    <w:rsid w:val="0056138B"/>
    <w:rsid w:val="00561F3E"/>
    <w:rsid w:val="00563517"/>
    <w:rsid w:val="0056364D"/>
    <w:rsid w:val="005637B1"/>
    <w:rsid w:val="005640F0"/>
    <w:rsid w:val="00564DED"/>
    <w:rsid w:val="00565532"/>
    <w:rsid w:val="005666B7"/>
    <w:rsid w:val="00571794"/>
    <w:rsid w:val="00572354"/>
    <w:rsid w:val="00573852"/>
    <w:rsid w:val="005753B7"/>
    <w:rsid w:val="00580CB5"/>
    <w:rsid w:val="00581589"/>
    <w:rsid w:val="00581E8E"/>
    <w:rsid w:val="005823C7"/>
    <w:rsid w:val="005857C0"/>
    <w:rsid w:val="0059003C"/>
    <w:rsid w:val="00591E52"/>
    <w:rsid w:val="005920D1"/>
    <w:rsid w:val="00593353"/>
    <w:rsid w:val="00593999"/>
    <w:rsid w:val="005941C9"/>
    <w:rsid w:val="00594B92"/>
    <w:rsid w:val="00594FDD"/>
    <w:rsid w:val="00595646"/>
    <w:rsid w:val="005977B7"/>
    <w:rsid w:val="00597F9A"/>
    <w:rsid w:val="005A18BD"/>
    <w:rsid w:val="005A1BAA"/>
    <w:rsid w:val="005A3D9E"/>
    <w:rsid w:val="005A5432"/>
    <w:rsid w:val="005A62D7"/>
    <w:rsid w:val="005B064E"/>
    <w:rsid w:val="005B194E"/>
    <w:rsid w:val="005B369D"/>
    <w:rsid w:val="005B37F0"/>
    <w:rsid w:val="005B543D"/>
    <w:rsid w:val="005B7EE0"/>
    <w:rsid w:val="005C1D79"/>
    <w:rsid w:val="005C3AD5"/>
    <w:rsid w:val="005C4F94"/>
    <w:rsid w:val="005C6072"/>
    <w:rsid w:val="005C6221"/>
    <w:rsid w:val="005D10B0"/>
    <w:rsid w:val="005D1D72"/>
    <w:rsid w:val="005D4ABE"/>
    <w:rsid w:val="005D5F09"/>
    <w:rsid w:val="005E1D34"/>
    <w:rsid w:val="005E1F01"/>
    <w:rsid w:val="005E2BD8"/>
    <w:rsid w:val="005E2C67"/>
    <w:rsid w:val="005E3436"/>
    <w:rsid w:val="005E3674"/>
    <w:rsid w:val="005E41DE"/>
    <w:rsid w:val="005E4690"/>
    <w:rsid w:val="005E6E3A"/>
    <w:rsid w:val="005E7590"/>
    <w:rsid w:val="005F0C37"/>
    <w:rsid w:val="005F12CD"/>
    <w:rsid w:val="005F25A3"/>
    <w:rsid w:val="005F455E"/>
    <w:rsid w:val="005F57B2"/>
    <w:rsid w:val="005F6C04"/>
    <w:rsid w:val="005F728A"/>
    <w:rsid w:val="00601D16"/>
    <w:rsid w:val="006031A7"/>
    <w:rsid w:val="00604033"/>
    <w:rsid w:val="00607FBC"/>
    <w:rsid w:val="00611670"/>
    <w:rsid w:val="00612D4D"/>
    <w:rsid w:val="00613979"/>
    <w:rsid w:val="00614401"/>
    <w:rsid w:val="006150AB"/>
    <w:rsid w:val="00615F0E"/>
    <w:rsid w:val="0061603D"/>
    <w:rsid w:val="006166D4"/>
    <w:rsid w:val="00617701"/>
    <w:rsid w:val="00617BA2"/>
    <w:rsid w:val="006206F8"/>
    <w:rsid w:val="006230F9"/>
    <w:rsid w:val="00623324"/>
    <w:rsid w:val="006255BC"/>
    <w:rsid w:val="00626001"/>
    <w:rsid w:val="0062675E"/>
    <w:rsid w:val="00627631"/>
    <w:rsid w:val="0063019F"/>
    <w:rsid w:val="00630759"/>
    <w:rsid w:val="00630D2C"/>
    <w:rsid w:val="00632349"/>
    <w:rsid w:val="00634429"/>
    <w:rsid w:val="006353A8"/>
    <w:rsid w:val="00635790"/>
    <w:rsid w:val="00637CB6"/>
    <w:rsid w:val="006414A1"/>
    <w:rsid w:val="00644A87"/>
    <w:rsid w:val="006469B0"/>
    <w:rsid w:val="00646C24"/>
    <w:rsid w:val="006500D1"/>
    <w:rsid w:val="006529BD"/>
    <w:rsid w:val="00653428"/>
    <w:rsid w:val="006549F2"/>
    <w:rsid w:val="00655824"/>
    <w:rsid w:val="00657B9D"/>
    <w:rsid w:val="00657E94"/>
    <w:rsid w:val="00661AD9"/>
    <w:rsid w:val="0066236D"/>
    <w:rsid w:val="006628EC"/>
    <w:rsid w:val="00663043"/>
    <w:rsid w:val="00663A7B"/>
    <w:rsid w:val="0066424C"/>
    <w:rsid w:val="006656A9"/>
    <w:rsid w:val="00665E3C"/>
    <w:rsid w:val="00666A28"/>
    <w:rsid w:val="00666E0F"/>
    <w:rsid w:val="006700E6"/>
    <w:rsid w:val="0067218E"/>
    <w:rsid w:val="00675DFF"/>
    <w:rsid w:val="00681D04"/>
    <w:rsid w:val="00681E05"/>
    <w:rsid w:val="00683AE2"/>
    <w:rsid w:val="00685419"/>
    <w:rsid w:val="00685E63"/>
    <w:rsid w:val="006875B0"/>
    <w:rsid w:val="006912BA"/>
    <w:rsid w:val="00691954"/>
    <w:rsid w:val="00693099"/>
    <w:rsid w:val="00693A17"/>
    <w:rsid w:val="00695113"/>
    <w:rsid w:val="006955D1"/>
    <w:rsid w:val="00696A68"/>
    <w:rsid w:val="00696C4A"/>
    <w:rsid w:val="006A1681"/>
    <w:rsid w:val="006A2D3C"/>
    <w:rsid w:val="006A33FE"/>
    <w:rsid w:val="006A380F"/>
    <w:rsid w:val="006A6F95"/>
    <w:rsid w:val="006B1108"/>
    <w:rsid w:val="006B568E"/>
    <w:rsid w:val="006B616C"/>
    <w:rsid w:val="006B6262"/>
    <w:rsid w:val="006C0B9D"/>
    <w:rsid w:val="006C1780"/>
    <w:rsid w:val="006C198B"/>
    <w:rsid w:val="006C2A10"/>
    <w:rsid w:val="006C3226"/>
    <w:rsid w:val="006C422F"/>
    <w:rsid w:val="006C4523"/>
    <w:rsid w:val="006C461F"/>
    <w:rsid w:val="006C5E90"/>
    <w:rsid w:val="006C61C0"/>
    <w:rsid w:val="006C7B77"/>
    <w:rsid w:val="006C7EC3"/>
    <w:rsid w:val="006D05B6"/>
    <w:rsid w:val="006D0A8C"/>
    <w:rsid w:val="006D3204"/>
    <w:rsid w:val="006D33B6"/>
    <w:rsid w:val="006D4703"/>
    <w:rsid w:val="006D50B3"/>
    <w:rsid w:val="006D7B23"/>
    <w:rsid w:val="006E025D"/>
    <w:rsid w:val="006E03B6"/>
    <w:rsid w:val="006E0959"/>
    <w:rsid w:val="006E3484"/>
    <w:rsid w:val="006E7469"/>
    <w:rsid w:val="006F013F"/>
    <w:rsid w:val="006F2319"/>
    <w:rsid w:val="006F2725"/>
    <w:rsid w:val="006F2A89"/>
    <w:rsid w:val="006F3617"/>
    <w:rsid w:val="006F3698"/>
    <w:rsid w:val="006F477D"/>
    <w:rsid w:val="006F538F"/>
    <w:rsid w:val="006F661C"/>
    <w:rsid w:val="006F7EE5"/>
    <w:rsid w:val="00701C63"/>
    <w:rsid w:val="007035CE"/>
    <w:rsid w:val="00704154"/>
    <w:rsid w:val="007065C1"/>
    <w:rsid w:val="007070DC"/>
    <w:rsid w:val="00710F05"/>
    <w:rsid w:val="007118A8"/>
    <w:rsid w:val="00711B99"/>
    <w:rsid w:val="00712079"/>
    <w:rsid w:val="00712433"/>
    <w:rsid w:val="0071294A"/>
    <w:rsid w:val="00713EDC"/>
    <w:rsid w:val="00714B03"/>
    <w:rsid w:val="00715AD6"/>
    <w:rsid w:val="00715EF3"/>
    <w:rsid w:val="00715F4F"/>
    <w:rsid w:val="0071630D"/>
    <w:rsid w:val="00720A18"/>
    <w:rsid w:val="007246EB"/>
    <w:rsid w:val="00724E96"/>
    <w:rsid w:val="0072622B"/>
    <w:rsid w:val="007266FF"/>
    <w:rsid w:val="00730F51"/>
    <w:rsid w:val="00731177"/>
    <w:rsid w:val="0073246A"/>
    <w:rsid w:val="00732A10"/>
    <w:rsid w:val="00732B7E"/>
    <w:rsid w:val="00732E72"/>
    <w:rsid w:val="00733DF5"/>
    <w:rsid w:val="00734242"/>
    <w:rsid w:val="0073459E"/>
    <w:rsid w:val="00735167"/>
    <w:rsid w:val="0073702D"/>
    <w:rsid w:val="00737074"/>
    <w:rsid w:val="00741B34"/>
    <w:rsid w:val="00742DD4"/>
    <w:rsid w:val="00744305"/>
    <w:rsid w:val="00745E83"/>
    <w:rsid w:val="00747368"/>
    <w:rsid w:val="007474BA"/>
    <w:rsid w:val="00750F8F"/>
    <w:rsid w:val="00751C1E"/>
    <w:rsid w:val="00752E56"/>
    <w:rsid w:val="00753BC4"/>
    <w:rsid w:val="00753C74"/>
    <w:rsid w:val="00756052"/>
    <w:rsid w:val="0075650E"/>
    <w:rsid w:val="007619EA"/>
    <w:rsid w:val="00763102"/>
    <w:rsid w:val="00763544"/>
    <w:rsid w:val="00763956"/>
    <w:rsid w:val="00763B95"/>
    <w:rsid w:val="00764752"/>
    <w:rsid w:val="007651B1"/>
    <w:rsid w:val="007653F8"/>
    <w:rsid w:val="00765DF9"/>
    <w:rsid w:val="0076621D"/>
    <w:rsid w:val="00773310"/>
    <w:rsid w:val="007734CD"/>
    <w:rsid w:val="007738D3"/>
    <w:rsid w:val="00773E7F"/>
    <w:rsid w:val="007743D8"/>
    <w:rsid w:val="00776111"/>
    <w:rsid w:val="007801E7"/>
    <w:rsid w:val="00780AD7"/>
    <w:rsid w:val="00780E7A"/>
    <w:rsid w:val="007813CD"/>
    <w:rsid w:val="007823E2"/>
    <w:rsid w:val="007824C3"/>
    <w:rsid w:val="007843A0"/>
    <w:rsid w:val="00784B00"/>
    <w:rsid w:val="00784F3D"/>
    <w:rsid w:val="00785C8F"/>
    <w:rsid w:val="00785FD0"/>
    <w:rsid w:val="00790705"/>
    <w:rsid w:val="00790A89"/>
    <w:rsid w:val="00790AA8"/>
    <w:rsid w:val="00794156"/>
    <w:rsid w:val="00794841"/>
    <w:rsid w:val="00796766"/>
    <w:rsid w:val="007A0738"/>
    <w:rsid w:val="007A159D"/>
    <w:rsid w:val="007A2367"/>
    <w:rsid w:val="007A2FAC"/>
    <w:rsid w:val="007A3D71"/>
    <w:rsid w:val="007A400D"/>
    <w:rsid w:val="007A61FF"/>
    <w:rsid w:val="007A65D4"/>
    <w:rsid w:val="007A7C80"/>
    <w:rsid w:val="007B1602"/>
    <w:rsid w:val="007B2ED8"/>
    <w:rsid w:val="007B35E0"/>
    <w:rsid w:val="007B383E"/>
    <w:rsid w:val="007B3B19"/>
    <w:rsid w:val="007B5A2F"/>
    <w:rsid w:val="007B79D8"/>
    <w:rsid w:val="007B7ED6"/>
    <w:rsid w:val="007C0838"/>
    <w:rsid w:val="007C383A"/>
    <w:rsid w:val="007C3FE7"/>
    <w:rsid w:val="007C4684"/>
    <w:rsid w:val="007C4D13"/>
    <w:rsid w:val="007C6848"/>
    <w:rsid w:val="007D057F"/>
    <w:rsid w:val="007D10AE"/>
    <w:rsid w:val="007D2131"/>
    <w:rsid w:val="007D3376"/>
    <w:rsid w:val="007D4927"/>
    <w:rsid w:val="007D58DA"/>
    <w:rsid w:val="007D5C52"/>
    <w:rsid w:val="007D64EC"/>
    <w:rsid w:val="007D6D4A"/>
    <w:rsid w:val="007D6F41"/>
    <w:rsid w:val="007D715C"/>
    <w:rsid w:val="007E00A7"/>
    <w:rsid w:val="007E13E0"/>
    <w:rsid w:val="007E1960"/>
    <w:rsid w:val="007E37A7"/>
    <w:rsid w:val="007E73B5"/>
    <w:rsid w:val="007F08B8"/>
    <w:rsid w:val="007F108F"/>
    <w:rsid w:val="007F3D3D"/>
    <w:rsid w:val="007F45B5"/>
    <w:rsid w:val="007F47D1"/>
    <w:rsid w:val="007F5909"/>
    <w:rsid w:val="007F63B7"/>
    <w:rsid w:val="00800948"/>
    <w:rsid w:val="00800972"/>
    <w:rsid w:val="00801F20"/>
    <w:rsid w:val="0080240D"/>
    <w:rsid w:val="00802667"/>
    <w:rsid w:val="00802F5C"/>
    <w:rsid w:val="00804780"/>
    <w:rsid w:val="00804A83"/>
    <w:rsid w:val="0081049E"/>
    <w:rsid w:val="00810DC8"/>
    <w:rsid w:val="00813922"/>
    <w:rsid w:val="00814FC6"/>
    <w:rsid w:val="00815170"/>
    <w:rsid w:val="0081603A"/>
    <w:rsid w:val="008160B0"/>
    <w:rsid w:val="00816F04"/>
    <w:rsid w:val="008201AE"/>
    <w:rsid w:val="00821AFC"/>
    <w:rsid w:val="00823053"/>
    <w:rsid w:val="00823183"/>
    <w:rsid w:val="00825021"/>
    <w:rsid w:val="00825D93"/>
    <w:rsid w:val="00826DC7"/>
    <w:rsid w:val="00826FBC"/>
    <w:rsid w:val="00830261"/>
    <w:rsid w:val="00830D9B"/>
    <w:rsid w:val="008324D6"/>
    <w:rsid w:val="008340E8"/>
    <w:rsid w:val="008351FB"/>
    <w:rsid w:val="00835921"/>
    <w:rsid w:val="008374BD"/>
    <w:rsid w:val="008441CC"/>
    <w:rsid w:val="0084582D"/>
    <w:rsid w:val="00845BAB"/>
    <w:rsid w:val="008469A5"/>
    <w:rsid w:val="00847230"/>
    <w:rsid w:val="008502EA"/>
    <w:rsid w:val="00851918"/>
    <w:rsid w:val="008523C0"/>
    <w:rsid w:val="00855686"/>
    <w:rsid w:val="00855D15"/>
    <w:rsid w:val="00856B89"/>
    <w:rsid w:val="00856E6D"/>
    <w:rsid w:val="00860242"/>
    <w:rsid w:val="008603C9"/>
    <w:rsid w:val="00860406"/>
    <w:rsid w:val="0086119B"/>
    <w:rsid w:val="008616FE"/>
    <w:rsid w:val="008632F1"/>
    <w:rsid w:val="008633B4"/>
    <w:rsid w:val="00863808"/>
    <w:rsid w:val="00863E01"/>
    <w:rsid w:val="0086521F"/>
    <w:rsid w:val="0086671B"/>
    <w:rsid w:val="00866A39"/>
    <w:rsid w:val="00866CA1"/>
    <w:rsid w:val="00872E2E"/>
    <w:rsid w:val="00873A89"/>
    <w:rsid w:val="00873DA1"/>
    <w:rsid w:val="00874462"/>
    <w:rsid w:val="00876E07"/>
    <w:rsid w:val="00877201"/>
    <w:rsid w:val="008776E6"/>
    <w:rsid w:val="00877EB2"/>
    <w:rsid w:val="00877F8F"/>
    <w:rsid w:val="008817DE"/>
    <w:rsid w:val="00881F02"/>
    <w:rsid w:val="00884EF7"/>
    <w:rsid w:val="008855E0"/>
    <w:rsid w:val="00885BD4"/>
    <w:rsid w:val="008865CA"/>
    <w:rsid w:val="0088696C"/>
    <w:rsid w:val="008870F5"/>
    <w:rsid w:val="008876E1"/>
    <w:rsid w:val="00890E74"/>
    <w:rsid w:val="008917FE"/>
    <w:rsid w:val="00892031"/>
    <w:rsid w:val="00893ACA"/>
    <w:rsid w:val="00893EA0"/>
    <w:rsid w:val="00894723"/>
    <w:rsid w:val="008954F1"/>
    <w:rsid w:val="00895AD0"/>
    <w:rsid w:val="008978AC"/>
    <w:rsid w:val="008A1DA8"/>
    <w:rsid w:val="008A2035"/>
    <w:rsid w:val="008A28A8"/>
    <w:rsid w:val="008A29CD"/>
    <w:rsid w:val="008A29FB"/>
    <w:rsid w:val="008A390C"/>
    <w:rsid w:val="008A3FE1"/>
    <w:rsid w:val="008A5316"/>
    <w:rsid w:val="008A58C5"/>
    <w:rsid w:val="008A64EB"/>
    <w:rsid w:val="008A7670"/>
    <w:rsid w:val="008A7721"/>
    <w:rsid w:val="008B0BB9"/>
    <w:rsid w:val="008B16F7"/>
    <w:rsid w:val="008B2F2B"/>
    <w:rsid w:val="008B30C8"/>
    <w:rsid w:val="008B5452"/>
    <w:rsid w:val="008B6506"/>
    <w:rsid w:val="008B6825"/>
    <w:rsid w:val="008B6EDD"/>
    <w:rsid w:val="008B72CE"/>
    <w:rsid w:val="008C008A"/>
    <w:rsid w:val="008C0A97"/>
    <w:rsid w:val="008C1399"/>
    <w:rsid w:val="008C2B21"/>
    <w:rsid w:val="008C3592"/>
    <w:rsid w:val="008C3DAB"/>
    <w:rsid w:val="008C5D96"/>
    <w:rsid w:val="008D0E2D"/>
    <w:rsid w:val="008D1820"/>
    <w:rsid w:val="008D1F67"/>
    <w:rsid w:val="008D2DCE"/>
    <w:rsid w:val="008D382F"/>
    <w:rsid w:val="008D4BC8"/>
    <w:rsid w:val="008D68B3"/>
    <w:rsid w:val="008E0466"/>
    <w:rsid w:val="008E131D"/>
    <w:rsid w:val="008E1ABB"/>
    <w:rsid w:val="008E20BE"/>
    <w:rsid w:val="008E3F6F"/>
    <w:rsid w:val="008E71AD"/>
    <w:rsid w:val="008E7982"/>
    <w:rsid w:val="008F0A70"/>
    <w:rsid w:val="008F0B58"/>
    <w:rsid w:val="008F26B8"/>
    <w:rsid w:val="008F51A7"/>
    <w:rsid w:val="008F57D3"/>
    <w:rsid w:val="008F6895"/>
    <w:rsid w:val="008F74C1"/>
    <w:rsid w:val="00900948"/>
    <w:rsid w:val="00900E1E"/>
    <w:rsid w:val="00901486"/>
    <w:rsid w:val="0090272B"/>
    <w:rsid w:val="00903554"/>
    <w:rsid w:val="00903947"/>
    <w:rsid w:val="00904752"/>
    <w:rsid w:val="00906B3C"/>
    <w:rsid w:val="00910DF6"/>
    <w:rsid w:val="0091101B"/>
    <w:rsid w:val="00912B9E"/>
    <w:rsid w:val="0091405B"/>
    <w:rsid w:val="00914570"/>
    <w:rsid w:val="009149F5"/>
    <w:rsid w:val="009150CD"/>
    <w:rsid w:val="009151CD"/>
    <w:rsid w:val="00916925"/>
    <w:rsid w:val="0091737E"/>
    <w:rsid w:val="00920BC5"/>
    <w:rsid w:val="009217D2"/>
    <w:rsid w:val="00921B8E"/>
    <w:rsid w:val="00922359"/>
    <w:rsid w:val="00922721"/>
    <w:rsid w:val="0092384E"/>
    <w:rsid w:val="00923C9A"/>
    <w:rsid w:val="009262DF"/>
    <w:rsid w:val="00926D64"/>
    <w:rsid w:val="00930302"/>
    <w:rsid w:val="00930ADA"/>
    <w:rsid w:val="00931090"/>
    <w:rsid w:val="00931AB2"/>
    <w:rsid w:val="00931B26"/>
    <w:rsid w:val="009323AC"/>
    <w:rsid w:val="0093394F"/>
    <w:rsid w:val="00934B82"/>
    <w:rsid w:val="009350F6"/>
    <w:rsid w:val="0093576D"/>
    <w:rsid w:val="00935DA6"/>
    <w:rsid w:val="00936B17"/>
    <w:rsid w:val="00940F8E"/>
    <w:rsid w:val="0094228F"/>
    <w:rsid w:val="009432B2"/>
    <w:rsid w:val="00943F50"/>
    <w:rsid w:val="009448A5"/>
    <w:rsid w:val="00945156"/>
    <w:rsid w:val="0094600A"/>
    <w:rsid w:val="009472B1"/>
    <w:rsid w:val="00947FA7"/>
    <w:rsid w:val="00951566"/>
    <w:rsid w:val="00952E64"/>
    <w:rsid w:val="0095346F"/>
    <w:rsid w:val="00954383"/>
    <w:rsid w:val="009554B0"/>
    <w:rsid w:val="00957649"/>
    <w:rsid w:val="009576FE"/>
    <w:rsid w:val="0095777B"/>
    <w:rsid w:val="00957B25"/>
    <w:rsid w:val="00957DBB"/>
    <w:rsid w:val="00962C9F"/>
    <w:rsid w:val="0096339C"/>
    <w:rsid w:val="00965E45"/>
    <w:rsid w:val="00967C9F"/>
    <w:rsid w:val="00971C6C"/>
    <w:rsid w:val="00971CF3"/>
    <w:rsid w:val="00972EAE"/>
    <w:rsid w:val="0097379E"/>
    <w:rsid w:val="009742BB"/>
    <w:rsid w:val="009743B9"/>
    <w:rsid w:val="0097461F"/>
    <w:rsid w:val="0097495B"/>
    <w:rsid w:val="00977528"/>
    <w:rsid w:val="009776BB"/>
    <w:rsid w:val="00981BFF"/>
    <w:rsid w:val="00983551"/>
    <w:rsid w:val="00983FDA"/>
    <w:rsid w:val="00985918"/>
    <w:rsid w:val="0098604D"/>
    <w:rsid w:val="00990019"/>
    <w:rsid w:val="00991638"/>
    <w:rsid w:val="0099269B"/>
    <w:rsid w:val="009927EA"/>
    <w:rsid w:val="0099322D"/>
    <w:rsid w:val="0099355B"/>
    <w:rsid w:val="009945E9"/>
    <w:rsid w:val="0099481E"/>
    <w:rsid w:val="00995042"/>
    <w:rsid w:val="009954EB"/>
    <w:rsid w:val="00995522"/>
    <w:rsid w:val="00995C4B"/>
    <w:rsid w:val="00995D7C"/>
    <w:rsid w:val="00996CBC"/>
    <w:rsid w:val="009A1BD3"/>
    <w:rsid w:val="009A24D8"/>
    <w:rsid w:val="009A416B"/>
    <w:rsid w:val="009A4DA7"/>
    <w:rsid w:val="009A6142"/>
    <w:rsid w:val="009B4282"/>
    <w:rsid w:val="009B7E2B"/>
    <w:rsid w:val="009C061E"/>
    <w:rsid w:val="009C1A1E"/>
    <w:rsid w:val="009C2F29"/>
    <w:rsid w:val="009C2FC3"/>
    <w:rsid w:val="009C3174"/>
    <w:rsid w:val="009D00FC"/>
    <w:rsid w:val="009D0529"/>
    <w:rsid w:val="009D291C"/>
    <w:rsid w:val="009D36EA"/>
    <w:rsid w:val="009D38F5"/>
    <w:rsid w:val="009D4A2C"/>
    <w:rsid w:val="009D4D36"/>
    <w:rsid w:val="009D4E8C"/>
    <w:rsid w:val="009D59C3"/>
    <w:rsid w:val="009D6F36"/>
    <w:rsid w:val="009E16EC"/>
    <w:rsid w:val="009E31E0"/>
    <w:rsid w:val="009E333A"/>
    <w:rsid w:val="009E3410"/>
    <w:rsid w:val="009E3542"/>
    <w:rsid w:val="009E3FA8"/>
    <w:rsid w:val="009E5419"/>
    <w:rsid w:val="009E5772"/>
    <w:rsid w:val="009E6C02"/>
    <w:rsid w:val="009F05C7"/>
    <w:rsid w:val="009F12E8"/>
    <w:rsid w:val="009F14EC"/>
    <w:rsid w:val="009F15D0"/>
    <w:rsid w:val="009F2CC8"/>
    <w:rsid w:val="009F4B53"/>
    <w:rsid w:val="009F556D"/>
    <w:rsid w:val="009F55FA"/>
    <w:rsid w:val="009F586C"/>
    <w:rsid w:val="00A00C87"/>
    <w:rsid w:val="00A03E88"/>
    <w:rsid w:val="00A0415D"/>
    <w:rsid w:val="00A04A69"/>
    <w:rsid w:val="00A10DD8"/>
    <w:rsid w:val="00A1159C"/>
    <w:rsid w:val="00A1174C"/>
    <w:rsid w:val="00A11F79"/>
    <w:rsid w:val="00A133CC"/>
    <w:rsid w:val="00A1693A"/>
    <w:rsid w:val="00A21728"/>
    <w:rsid w:val="00A2224C"/>
    <w:rsid w:val="00A232A3"/>
    <w:rsid w:val="00A2365D"/>
    <w:rsid w:val="00A2532E"/>
    <w:rsid w:val="00A25AFE"/>
    <w:rsid w:val="00A30FF9"/>
    <w:rsid w:val="00A31374"/>
    <w:rsid w:val="00A40D84"/>
    <w:rsid w:val="00A429B9"/>
    <w:rsid w:val="00A43B9F"/>
    <w:rsid w:val="00A455BA"/>
    <w:rsid w:val="00A45E4C"/>
    <w:rsid w:val="00A46003"/>
    <w:rsid w:val="00A47A70"/>
    <w:rsid w:val="00A50B43"/>
    <w:rsid w:val="00A555A6"/>
    <w:rsid w:val="00A600F6"/>
    <w:rsid w:val="00A60E0A"/>
    <w:rsid w:val="00A610B2"/>
    <w:rsid w:val="00A62E1A"/>
    <w:rsid w:val="00A65FF4"/>
    <w:rsid w:val="00A66250"/>
    <w:rsid w:val="00A6674F"/>
    <w:rsid w:val="00A67EBD"/>
    <w:rsid w:val="00A7325E"/>
    <w:rsid w:val="00A73284"/>
    <w:rsid w:val="00A75835"/>
    <w:rsid w:val="00A75CE9"/>
    <w:rsid w:val="00A76195"/>
    <w:rsid w:val="00A767F1"/>
    <w:rsid w:val="00A77007"/>
    <w:rsid w:val="00A779B8"/>
    <w:rsid w:val="00A77B1E"/>
    <w:rsid w:val="00A8279E"/>
    <w:rsid w:val="00A82D3A"/>
    <w:rsid w:val="00A8416C"/>
    <w:rsid w:val="00A84183"/>
    <w:rsid w:val="00A84C62"/>
    <w:rsid w:val="00A85241"/>
    <w:rsid w:val="00A85CC4"/>
    <w:rsid w:val="00A8688D"/>
    <w:rsid w:val="00A86C39"/>
    <w:rsid w:val="00A87209"/>
    <w:rsid w:val="00A875E6"/>
    <w:rsid w:val="00A91226"/>
    <w:rsid w:val="00A92BD1"/>
    <w:rsid w:val="00A92C83"/>
    <w:rsid w:val="00A92D4C"/>
    <w:rsid w:val="00A92E48"/>
    <w:rsid w:val="00A936AD"/>
    <w:rsid w:val="00A93A2B"/>
    <w:rsid w:val="00A951F5"/>
    <w:rsid w:val="00A95944"/>
    <w:rsid w:val="00A95B34"/>
    <w:rsid w:val="00A95D98"/>
    <w:rsid w:val="00A960DF"/>
    <w:rsid w:val="00A96460"/>
    <w:rsid w:val="00A96EFC"/>
    <w:rsid w:val="00AA2668"/>
    <w:rsid w:val="00AA4F3F"/>
    <w:rsid w:val="00AA56E7"/>
    <w:rsid w:val="00AA5DB3"/>
    <w:rsid w:val="00AA5EAA"/>
    <w:rsid w:val="00AA6756"/>
    <w:rsid w:val="00AA6955"/>
    <w:rsid w:val="00AB01A6"/>
    <w:rsid w:val="00AB0306"/>
    <w:rsid w:val="00AB0633"/>
    <w:rsid w:val="00AB0EE5"/>
    <w:rsid w:val="00AB1ADD"/>
    <w:rsid w:val="00AB1D04"/>
    <w:rsid w:val="00AB45E1"/>
    <w:rsid w:val="00AB5E24"/>
    <w:rsid w:val="00AB77F4"/>
    <w:rsid w:val="00AC00DC"/>
    <w:rsid w:val="00AC0AE4"/>
    <w:rsid w:val="00AC1442"/>
    <w:rsid w:val="00AC1AC2"/>
    <w:rsid w:val="00AC2117"/>
    <w:rsid w:val="00AC3EDE"/>
    <w:rsid w:val="00AC4159"/>
    <w:rsid w:val="00AC4613"/>
    <w:rsid w:val="00AC6B6F"/>
    <w:rsid w:val="00AD10ED"/>
    <w:rsid w:val="00AD334D"/>
    <w:rsid w:val="00AD387C"/>
    <w:rsid w:val="00AD593F"/>
    <w:rsid w:val="00AD59DA"/>
    <w:rsid w:val="00AD5F9F"/>
    <w:rsid w:val="00AD6081"/>
    <w:rsid w:val="00AD6E25"/>
    <w:rsid w:val="00AD73DB"/>
    <w:rsid w:val="00AE01F9"/>
    <w:rsid w:val="00AE0569"/>
    <w:rsid w:val="00AE19B5"/>
    <w:rsid w:val="00AE1FFC"/>
    <w:rsid w:val="00AE31D8"/>
    <w:rsid w:val="00AE68F1"/>
    <w:rsid w:val="00AE723C"/>
    <w:rsid w:val="00AE75E5"/>
    <w:rsid w:val="00AE79C3"/>
    <w:rsid w:val="00AF020E"/>
    <w:rsid w:val="00AF0943"/>
    <w:rsid w:val="00AF0EE6"/>
    <w:rsid w:val="00AF1AC3"/>
    <w:rsid w:val="00AF2428"/>
    <w:rsid w:val="00AF2638"/>
    <w:rsid w:val="00AF4D96"/>
    <w:rsid w:val="00AF556B"/>
    <w:rsid w:val="00AF67C4"/>
    <w:rsid w:val="00AF68D3"/>
    <w:rsid w:val="00AF7A98"/>
    <w:rsid w:val="00B0037E"/>
    <w:rsid w:val="00B00496"/>
    <w:rsid w:val="00B0169A"/>
    <w:rsid w:val="00B02B51"/>
    <w:rsid w:val="00B0334F"/>
    <w:rsid w:val="00B05AC6"/>
    <w:rsid w:val="00B05C99"/>
    <w:rsid w:val="00B06FA9"/>
    <w:rsid w:val="00B078D0"/>
    <w:rsid w:val="00B10FEA"/>
    <w:rsid w:val="00B14098"/>
    <w:rsid w:val="00B1576B"/>
    <w:rsid w:val="00B15A80"/>
    <w:rsid w:val="00B15B8F"/>
    <w:rsid w:val="00B16BC7"/>
    <w:rsid w:val="00B21E7B"/>
    <w:rsid w:val="00B223BB"/>
    <w:rsid w:val="00B23847"/>
    <w:rsid w:val="00B245AA"/>
    <w:rsid w:val="00B246A5"/>
    <w:rsid w:val="00B247AA"/>
    <w:rsid w:val="00B26323"/>
    <w:rsid w:val="00B2770F"/>
    <w:rsid w:val="00B30437"/>
    <w:rsid w:val="00B306A7"/>
    <w:rsid w:val="00B307E0"/>
    <w:rsid w:val="00B31686"/>
    <w:rsid w:val="00B31DDE"/>
    <w:rsid w:val="00B35F47"/>
    <w:rsid w:val="00B36B24"/>
    <w:rsid w:val="00B4009D"/>
    <w:rsid w:val="00B40F5E"/>
    <w:rsid w:val="00B43956"/>
    <w:rsid w:val="00B43BA0"/>
    <w:rsid w:val="00B447A8"/>
    <w:rsid w:val="00B462FF"/>
    <w:rsid w:val="00B47E81"/>
    <w:rsid w:val="00B508EF"/>
    <w:rsid w:val="00B5100E"/>
    <w:rsid w:val="00B512FD"/>
    <w:rsid w:val="00B51C98"/>
    <w:rsid w:val="00B52912"/>
    <w:rsid w:val="00B534DD"/>
    <w:rsid w:val="00B54AAE"/>
    <w:rsid w:val="00B54C0A"/>
    <w:rsid w:val="00B56C5C"/>
    <w:rsid w:val="00B57985"/>
    <w:rsid w:val="00B579C3"/>
    <w:rsid w:val="00B57D6C"/>
    <w:rsid w:val="00B606E5"/>
    <w:rsid w:val="00B60E43"/>
    <w:rsid w:val="00B62C99"/>
    <w:rsid w:val="00B63763"/>
    <w:rsid w:val="00B63A41"/>
    <w:rsid w:val="00B63FBA"/>
    <w:rsid w:val="00B67F1E"/>
    <w:rsid w:val="00B70317"/>
    <w:rsid w:val="00B70801"/>
    <w:rsid w:val="00B712EC"/>
    <w:rsid w:val="00B748F5"/>
    <w:rsid w:val="00B74A06"/>
    <w:rsid w:val="00B74AC9"/>
    <w:rsid w:val="00B74F29"/>
    <w:rsid w:val="00B7539A"/>
    <w:rsid w:val="00B7788E"/>
    <w:rsid w:val="00B77C9D"/>
    <w:rsid w:val="00B8124C"/>
    <w:rsid w:val="00B81CB4"/>
    <w:rsid w:val="00B82F5C"/>
    <w:rsid w:val="00B84A59"/>
    <w:rsid w:val="00B87DC6"/>
    <w:rsid w:val="00B91CCE"/>
    <w:rsid w:val="00B926F3"/>
    <w:rsid w:val="00B9677F"/>
    <w:rsid w:val="00BA089A"/>
    <w:rsid w:val="00BA38E1"/>
    <w:rsid w:val="00BA53D8"/>
    <w:rsid w:val="00BA5E47"/>
    <w:rsid w:val="00BA61A2"/>
    <w:rsid w:val="00BA72F9"/>
    <w:rsid w:val="00BB0110"/>
    <w:rsid w:val="00BB06A7"/>
    <w:rsid w:val="00BB0CF4"/>
    <w:rsid w:val="00BB0D8D"/>
    <w:rsid w:val="00BB223E"/>
    <w:rsid w:val="00BB295C"/>
    <w:rsid w:val="00BB2EF9"/>
    <w:rsid w:val="00BB4306"/>
    <w:rsid w:val="00BB6A30"/>
    <w:rsid w:val="00BB7485"/>
    <w:rsid w:val="00BC13F7"/>
    <w:rsid w:val="00BC17A0"/>
    <w:rsid w:val="00BC4D24"/>
    <w:rsid w:val="00BC62B5"/>
    <w:rsid w:val="00BC68F1"/>
    <w:rsid w:val="00BD1874"/>
    <w:rsid w:val="00BD2778"/>
    <w:rsid w:val="00BD2B06"/>
    <w:rsid w:val="00BD4562"/>
    <w:rsid w:val="00BD4873"/>
    <w:rsid w:val="00BD5482"/>
    <w:rsid w:val="00BD5CFA"/>
    <w:rsid w:val="00BD684B"/>
    <w:rsid w:val="00BD6ACE"/>
    <w:rsid w:val="00BD7E92"/>
    <w:rsid w:val="00BE06AC"/>
    <w:rsid w:val="00BE1025"/>
    <w:rsid w:val="00BE11AC"/>
    <w:rsid w:val="00BE1DFE"/>
    <w:rsid w:val="00BE36D7"/>
    <w:rsid w:val="00BF08DA"/>
    <w:rsid w:val="00BF095F"/>
    <w:rsid w:val="00BF12D2"/>
    <w:rsid w:val="00BF1D8A"/>
    <w:rsid w:val="00BF2461"/>
    <w:rsid w:val="00BF3DB8"/>
    <w:rsid w:val="00BF457E"/>
    <w:rsid w:val="00BF464E"/>
    <w:rsid w:val="00BF5A86"/>
    <w:rsid w:val="00BF5EDF"/>
    <w:rsid w:val="00BF5EF3"/>
    <w:rsid w:val="00BF5FAC"/>
    <w:rsid w:val="00C02613"/>
    <w:rsid w:val="00C03C78"/>
    <w:rsid w:val="00C04678"/>
    <w:rsid w:val="00C04D0D"/>
    <w:rsid w:val="00C06645"/>
    <w:rsid w:val="00C06FB0"/>
    <w:rsid w:val="00C07AD8"/>
    <w:rsid w:val="00C1174B"/>
    <w:rsid w:val="00C135F2"/>
    <w:rsid w:val="00C159C4"/>
    <w:rsid w:val="00C15A8A"/>
    <w:rsid w:val="00C17DD2"/>
    <w:rsid w:val="00C20425"/>
    <w:rsid w:val="00C206C2"/>
    <w:rsid w:val="00C225C1"/>
    <w:rsid w:val="00C22D31"/>
    <w:rsid w:val="00C23719"/>
    <w:rsid w:val="00C23A77"/>
    <w:rsid w:val="00C2554C"/>
    <w:rsid w:val="00C25EE2"/>
    <w:rsid w:val="00C300F6"/>
    <w:rsid w:val="00C30AF5"/>
    <w:rsid w:val="00C315C0"/>
    <w:rsid w:val="00C31E3D"/>
    <w:rsid w:val="00C32458"/>
    <w:rsid w:val="00C3352A"/>
    <w:rsid w:val="00C3546B"/>
    <w:rsid w:val="00C36B01"/>
    <w:rsid w:val="00C40178"/>
    <w:rsid w:val="00C40257"/>
    <w:rsid w:val="00C42974"/>
    <w:rsid w:val="00C44E7E"/>
    <w:rsid w:val="00C451E3"/>
    <w:rsid w:val="00C45FA7"/>
    <w:rsid w:val="00C46268"/>
    <w:rsid w:val="00C46ADD"/>
    <w:rsid w:val="00C46E96"/>
    <w:rsid w:val="00C46F10"/>
    <w:rsid w:val="00C478B1"/>
    <w:rsid w:val="00C479A4"/>
    <w:rsid w:val="00C50C14"/>
    <w:rsid w:val="00C51134"/>
    <w:rsid w:val="00C52364"/>
    <w:rsid w:val="00C53606"/>
    <w:rsid w:val="00C53E19"/>
    <w:rsid w:val="00C55BEE"/>
    <w:rsid w:val="00C57EB7"/>
    <w:rsid w:val="00C57F9B"/>
    <w:rsid w:val="00C60CA7"/>
    <w:rsid w:val="00C61BA5"/>
    <w:rsid w:val="00C62856"/>
    <w:rsid w:val="00C62C9C"/>
    <w:rsid w:val="00C62D0A"/>
    <w:rsid w:val="00C62D1A"/>
    <w:rsid w:val="00C6328A"/>
    <w:rsid w:val="00C64A29"/>
    <w:rsid w:val="00C66322"/>
    <w:rsid w:val="00C6671C"/>
    <w:rsid w:val="00C70CBE"/>
    <w:rsid w:val="00C714A8"/>
    <w:rsid w:val="00C7196C"/>
    <w:rsid w:val="00C71F21"/>
    <w:rsid w:val="00C73C62"/>
    <w:rsid w:val="00C73D27"/>
    <w:rsid w:val="00C75694"/>
    <w:rsid w:val="00C812CC"/>
    <w:rsid w:val="00C826CA"/>
    <w:rsid w:val="00C83EE2"/>
    <w:rsid w:val="00C848FA"/>
    <w:rsid w:val="00C8510A"/>
    <w:rsid w:val="00C853FE"/>
    <w:rsid w:val="00C872D1"/>
    <w:rsid w:val="00C87DDA"/>
    <w:rsid w:val="00C90902"/>
    <w:rsid w:val="00C910EB"/>
    <w:rsid w:val="00C911DB"/>
    <w:rsid w:val="00C922F6"/>
    <w:rsid w:val="00C928CC"/>
    <w:rsid w:val="00C9317B"/>
    <w:rsid w:val="00C94050"/>
    <w:rsid w:val="00CA01DC"/>
    <w:rsid w:val="00CA24F1"/>
    <w:rsid w:val="00CA3D0A"/>
    <w:rsid w:val="00CA3FB5"/>
    <w:rsid w:val="00CA44CB"/>
    <w:rsid w:val="00CA5AFD"/>
    <w:rsid w:val="00CA5D3C"/>
    <w:rsid w:val="00CA6C23"/>
    <w:rsid w:val="00CA7102"/>
    <w:rsid w:val="00CB1312"/>
    <w:rsid w:val="00CB205B"/>
    <w:rsid w:val="00CB22D1"/>
    <w:rsid w:val="00CB396A"/>
    <w:rsid w:val="00CB64E8"/>
    <w:rsid w:val="00CB6532"/>
    <w:rsid w:val="00CC1069"/>
    <w:rsid w:val="00CC15B8"/>
    <w:rsid w:val="00CC3B5A"/>
    <w:rsid w:val="00CC3C31"/>
    <w:rsid w:val="00CC605A"/>
    <w:rsid w:val="00CC67BF"/>
    <w:rsid w:val="00CD2DC2"/>
    <w:rsid w:val="00CD2FF9"/>
    <w:rsid w:val="00CD3A58"/>
    <w:rsid w:val="00CD3EF1"/>
    <w:rsid w:val="00CD6331"/>
    <w:rsid w:val="00CD782B"/>
    <w:rsid w:val="00CD7A9C"/>
    <w:rsid w:val="00CE0743"/>
    <w:rsid w:val="00CE2123"/>
    <w:rsid w:val="00CE3367"/>
    <w:rsid w:val="00CE3489"/>
    <w:rsid w:val="00CE6CF8"/>
    <w:rsid w:val="00CE753B"/>
    <w:rsid w:val="00CF195A"/>
    <w:rsid w:val="00CF1988"/>
    <w:rsid w:val="00CF1A01"/>
    <w:rsid w:val="00CF1F9A"/>
    <w:rsid w:val="00CF267A"/>
    <w:rsid w:val="00CF45C1"/>
    <w:rsid w:val="00CF55F8"/>
    <w:rsid w:val="00CF6298"/>
    <w:rsid w:val="00CF79C3"/>
    <w:rsid w:val="00CF79F2"/>
    <w:rsid w:val="00D00622"/>
    <w:rsid w:val="00D00E68"/>
    <w:rsid w:val="00D01CF8"/>
    <w:rsid w:val="00D03995"/>
    <w:rsid w:val="00D060FB"/>
    <w:rsid w:val="00D06298"/>
    <w:rsid w:val="00D0674A"/>
    <w:rsid w:val="00D10315"/>
    <w:rsid w:val="00D103AB"/>
    <w:rsid w:val="00D11DAA"/>
    <w:rsid w:val="00D1262F"/>
    <w:rsid w:val="00D133FB"/>
    <w:rsid w:val="00D14C6B"/>
    <w:rsid w:val="00D15020"/>
    <w:rsid w:val="00D16012"/>
    <w:rsid w:val="00D161A3"/>
    <w:rsid w:val="00D16666"/>
    <w:rsid w:val="00D20ADC"/>
    <w:rsid w:val="00D20E2B"/>
    <w:rsid w:val="00D250A0"/>
    <w:rsid w:val="00D2760D"/>
    <w:rsid w:val="00D3188F"/>
    <w:rsid w:val="00D3234D"/>
    <w:rsid w:val="00D341BB"/>
    <w:rsid w:val="00D35CC3"/>
    <w:rsid w:val="00D3690D"/>
    <w:rsid w:val="00D40061"/>
    <w:rsid w:val="00D4017C"/>
    <w:rsid w:val="00D44C88"/>
    <w:rsid w:val="00D44FD0"/>
    <w:rsid w:val="00D4528A"/>
    <w:rsid w:val="00D46266"/>
    <w:rsid w:val="00D469AD"/>
    <w:rsid w:val="00D476A2"/>
    <w:rsid w:val="00D50FD9"/>
    <w:rsid w:val="00D51825"/>
    <w:rsid w:val="00D51FB9"/>
    <w:rsid w:val="00D53D1D"/>
    <w:rsid w:val="00D549FD"/>
    <w:rsid w:val="00D571EA"/>
    <w:rsid w:val="00D60655"/>
    <w:rsid w:val="00D60A4D"/>
    <w:rsid w:val="00D61993"/>
    <w:rsid w:val="00D61A5B"/>
    <w:rsid w:val="00D62B21"/>
    <w:rsid w:val="00D64451"/>
    <w:rsid w:val="00D65DCF"/>
    <w:rsid w:val="00D660BC"/>
    <w:rsid w:val="00D66317"/>
    <w:rsid w:val="00D67A98"/>
    <w:rsid w:val="00D67EFF"/>
    <w:rsid w:val="00D71DBD"/>
    <w:rsid w:val="00D72D8F"/>
    <w:rsid w:val="00D80795"/>
    <w:rsid w:val="00D81068"/>
    <w:rsid w:val="00D813CF"/>
    <w:rsid w:val="00D826CE"/>
    <w:rsid w:val="00D83894"/>
    <w:rsid w:val="00D84A4E"/>
    <w:rsid w:val="00D84C32"/>
    <w:rsid w:val="00D85899"/>
    <w:rsid w:val="00D86220"/>
    <w:rsid w:val="00D86B65"/>
    <w:rsid w:val="00D909AE"/>
    <w:rsid w:val="00D90A22"/>
    <w:rsid w:val="00D91CDE"/>
    <w:rsid w:val="00D93B2E"/>
    <w:rsid w:val="00D95EFA"/>
    <w:rsid w:val="00D9607E"/>
    <w:rsid w:val="00D9610D"/>
    <w:rsid w:val="00D96AAD"/>
    <w:rsid w:val="00D97654"/>
    <w:rsid w:val="00DA02C4"/>
    <w:rsid w:val="00DA0463"/>
    <w:rsid w:val="00DA1781"/>
    <w:rsid w:val="00DA1911"/>
    <w:rsid w:val="00DA1EDF"/>
    <w:rsid w:val="00DA2059"/>
    <w:rsid w:val="00DA34FA"/>
    <w:rsid w:val="00DA4C15"/>
    <w:rsid w:val="00DA4C86"/>
    <w:rsid w:val="00DA6C24"/>
    <w:rsid w:val="00DB0E75"/>
    <w:rsid w:val="00DB16C3"/>
    <w:rsid w:val="00DB17D6"/>
    <w:rsid w:val="00DB224D"/>
    <w:rsid w:val="00DB3422"/>
    <w:rsid w:val="00DB5E8A"/>
    <w:rsid w:val="00DB68E2"/>
    <w:rsid w:val="00DB6F67"/>
    <w:rsid w:val="00DC047C"/>
    <w:rsid w:val="00DC0B2D"/>
    <w:rsid w:val="00DC0C5C"/>
    <w:rsid w:val="00DC5233"/>
    <w:rsid w:val="00DC5725"/>
    <w:rsid w:val="00DC64BD"/>
    <w:rsid w:val="00DD0792"/>
    <w:rsid w:val="00DD0F64"/>
    <w:rsid w:val="00DD22F4"/>
    <w:rsid w:val="00DD25D7"/>
    <w:rsid w:val="00DD311A"/>
    <w:rsid w:val="00DD3297"/>
    <w:rsid w:val="00DD3E0D"/>
    <w:rsid w:val="00DD5196"/>
    <w:rsid w:val="00DD5313"/>
    <w:rsid w:val="00DD7D16"/>
    <w:rsid w:val="00DD7F98"/>
    <w:rsid w:val="00DE05EB"/>
    <w:rsid w:val="00DE0F86"/>
    <w:rsid w:val="00DE127B"/>
    <w:rsid w:val="00DE2080"/>
    <w:rsid w:val="00DE41C7"/>
    <w:rsid w:val="00DE4D1D"/>
    <w:rsid w:val="00DE5DE5"/>
    <w:rsid w:val="00DE6C2A"/>
    <w:rsid w:val="00DE6C88"/>
    <w:rsid w:val="00DE707A"/>
    <w:rsid w:val="00DF0446"/>
    <w:rsid w:val="00DF126B"/>
    <w:rsid w:val="00DF1366"/>
    <w:rsid w:val="00DF2990"/>
    <w:rsid w:val="00DF2B48"/>
    <w:rsid w:val="00DF37B5"/>
    <w:rsid w:val="00DF3F37"/>
    <w:rsid w:val="00DF4081"/>
    <w:rsid w:val="00DF4CC3"/>
    <w:rsid w:val="00DF5D33"/>
    <w:rsid w:val="00DF6B0A"/>
    <w:rsid w:val="00DF713E"/>
    <w:rsid w:val="00E02682"/>
    <w:rsid w:val="00E03CCE"/>
    <w:rsid w:val="00E04590"/>
    <w:rsid w:val="00E04BC9"/>
    <w:rsid w:val="00E069F8"/>
    <w:rsid w:val="00E071B2"/>
    <w:rsid w:val="00E10F0A"/>
    <w:rsid w:val="00E11BAD"/>
    <w:rsid w:val="00E12F92"/>
    <w:rsid w:val="00E14E5F"/>
    <w:rsid w:val="00E15A48"/>
    <w:rsid w:val="00E15A87"/>
    <w:rsid w:val="00E163F8"/>
    <w:rsid w:val="00E179A0"/>
    <w:rsid w:val="00E202E0"/>
    <w:rsid w:val="00E202E2"/>
    <w:rsid w:val="00E21817"/>
    <w:rsid w:val="00E22D5A"/>
    <w:rsid w:val="00E25DA5"/>
    <w:rsid w:val="00E27238"/>
    <w:rsid w:val="00E27CB1"/>
    <w:rsid w:val="00E27CF0"/>
    <w:rsid w:val="00E3278D"/>
    <w:rsid w:val="00E3549E"/>
    <w:rsid w:val="00E35AF3"/>
    <w:rsid w:val="00E36743"/>
    <w:rsid w:val="00E375EF"/>
    <w:rsid w:val="00E40303"/>
    <w:rsid w:val="00E4099B"/>
    <w:rsid w:val="00E40D28"/>
    <w:rsid w:val="00E41A53"/>
    <w:rsid w:val="00E434A1"/>
    <w:rsid w:val="00E44721"/>
    <w:rsid w:val="00E451CA"/>
    <w:rsid w:val="00E45B2F"/>
    <w:rsid w:val="00E461CC"/>
    <w:rsid w:val="00E47BB1"/>
    <w:rsid w:val="00E522D7"/>
    <w:rsid w:val="00E52706"/>
    <w:rsid w:val="00E52BB6"/>
    <w:rsid w:val="00E53003"/>
    <w:rsid w:val="00E54F23"/>
    <w:rsid w:val="00E55330"/>
    <w:rsid w:val="00E55950"/>
    <w:rsid w:val="00E57E49"/>
    <w:rsid w:val="00E6254E"/>
    <w:rsid w:val="00E63275"/>
    <w:rsid w:val="00E639AF"/>
    <w:rsid w:val="00E63E01"/>
    <w:rsid w:val="00E64264"/>
    <w:rsid w:val="00E65267"/>
    <w:rsid w:val="00E663F2"/>
    <w:rsid w:val="00E66C21"/>
    <w:rsid w:val="00E67070"/>
    <w:rsid w:val="00E703F2"/>
    <w:rsid w:val="00E70BFE"/>
    <w:rsid w:val="00E719E3"/>
    <w:rsid w:val="00E71D9B"/>
    <w:rsid w:val="00E71F24"/>
    <w:rsid w:val="00E72CE9"/>
    <w:rsid w:val="00E7316C"/>
    <w:rsid w:val="00E7329B"/>
    <w:rsid w:val="00E73A31"/>
    <w:rsid w:val="00E73BEA"/>
    <w:rsid w:val="00E73CED"/>
    <w:rsid w:val="00E76EBF"/>
    <w:rsid w:val="00E81765"/>
    <w:rsid w:val="00E8221D"/>
    <w:rsid w:val="00E82563"/>
    <w:rsid w:val="00E83F1F"/>
    <w:rsid w:val="00E8571D"/>
    <w:rsid w:val="00E86C00"/>
    <w:rsid w:val="00E86F46"/>
    <w:rsid w:val="00E920A9"/>
    <w:rsid w:val="00E937B4"/>
    <w:rsid w:val="00E93CD6"/>
    <w:rsid w:val="00E93DAD"/>
    <w:rsid w:val="00E93F49"/>
    <w:rsid w:val="00E95C79"/>
    <w:rsid w:val="00E96284"/>
    <w:rsid w:val="00E97521"/>
    <w:rsid w:val="00E97C29"/>
    <w:rsid w:val="00EA04A0"/>
    <w:rsid w:val="00EA0D2F"/>
    <w:rsid w:val="00EA10E3"/>
    <w:rsid w:val="00EA11DD"/>
    <w:rsid w:val="00EA4F43"/>
    <w:rsid w:val="00EA5186"/>
    <w:rsid w:val="00EA5484"/>
    <w:rsid w:val="00EA560A"/>
    <w:rsid w:val="00EA77B5"/>
    <w:rsid w:val="00EB191C"/>
    <w:rsid w:val="00EB2521"/>
    <w:rsid w:val="00EB5A32"/>
    <w:rsid w:val="00EB5A67"/>
    <w:rsid w:val="00EB6835"/>
    <w:rsid w:val="00EB6F51"/>
    <w:rsid w:val="00EC3830"/>
    <w:rsid w:val="00EC501C"/>
    <w:rsid w:val="00EC7525"/>
    <w:rsid w:val="00EC7FA1"/>
    <w:rsid w:val="00ED12F1"/>
    <w:rsid w:val="00ED1619"/>
    <w:rsid w:val="00ED16FA"/>
    <w:rsid w:val="00ED278E"/>
    <w:rsid w:val="00ED29E5"/>
    <w:rsid w:val="00ED2AE0"/>
    <w:rsid w:val="00ED2F5B"/>
    <w:rsid w:val="00ED3002"/>
    <w:rsid w:val="00ED6B33"/>
    <w:rsid w:val="00ED6B4E"/>
    <w:rsid w:val="00ED6D7A"/>
    <w:rsid w:val="00ED6DE8"/>
    <w:rsid w:val="00ED7083"/>
    <w:rsid w:val="00ED71FC"/>
    <w:rsid w:val="00ED7E62"/>
    <w:rsid w:val="00EE054A"/>
    <w:rsid w:val="00EE0DF4"/>
    <w:rsid w:val="00EE1857"/>
    <w:rsid w:val="00EE1F4D"/>
    <w:rsid w:val="00EE31A7"/>
    <w:rsid w:val="00EE4F96"/>
    <w:rsid w:val="00EE6AED"/>
    <w:rsid w:val="00EF05E8"/>
    <w:rsid w:val="00EF29C0"/>
    <w:rsid w:val="00EF507A"/>
    <w:rsid w:val="00EF529A"/>
    <w:rsid w:val="00EF5598"/>
    <w:rsid w:val="00EF5ADC"/>
    <w:rsid w:val="00EF5C79"/>
    <w:rsid w:val="00EF7224"/>
    <w:rsid w:val="00EF7B0F"/>
    <w:rsid w:val="00EF7CB4"/>
    <w:rsid w:val="00F00A46"/>
    <w:rsid w:val="00F00F98"/>
    <w:rsid w:val="00F02D3C"/>
    <w:rsid w:val="00F032E3"/>
    <w:rsid w:val="00F034B6"/>
    <w:rsid w:val="00F03FCA"/>
    <w:rsid w:val="00F0413A"/>
    <w:rsid w:val="00F06F12"/>
    <w:rsid w:val="00F10186"/>
    <w:rsid w:val="00F10511"/>
    <w:rsid w:val="00F10988"/>
    <w:rsid w:val="00F11107"/>
    <w:rsid w:val="00F11D9B"/>
    <w:rsid w:val="00F125E5"/>
    <w:rsid w:val="00F12D37"/>
    <w:rsid w:val="00F12E27"/>
    <w:rsid w:val="00F133F9"/>
    <w:rsid w:val="00F14CF1"/>
    <w:rsid w:val="00F150A6"/>
    <w:rsid w:val="00F15473"/>
    <w:rsid w:val="00F15EDF"/>
    <w:rsid w:val="00F15F94"/>
    <w:rsid w:val="00F16255"/>
    <w:rsid w:val="00F167C6"/>
    <w:rsid w:val="00F16832"/>
    <w:rsid w:val="00F177E8"/>
    <w:rsid w:val="00F232CD"/>
    <w:rsid w:val="00F24C71"/>
    <w:rsid w:val="00F25D54"/>
    <w:rsid w:val="00F25F6D"/>
    <w:rsid w:val="00F300DF"/>
    <w:rsid w:val="00F30D9B"/>
    <w:rsid w:val="00F30F27"/>
    <w:rsid w:val="00F31097"/>
    <w:rsid w:val="00F3133F"/>
    <w:rsid w:val="00F320BF"/>
    <w:rsid w:val="00F322CB"/>
    <w:rsid w:val="00F32B0B"/>
    <w:rsid w:val="00F32BC3"/>
    <w:rsid w:val="00F32F78"/>
    <w:rsid w:val="00F34B60"/>
    <w:rsid w:val="00F34E08"/>
    <w:rsid w:val="00F34F18"/>
    <w:rsid w:val="00F357F2"/>
    <w:rsid w:val="00F4076D"/>
    <w:rsid w:val="00F42642"/>
    <w:rsid w:val="00F45028"/>
    <w:rsid w:val="00F458FC"/>
    <w:rsid w:val="00F472C9"/>
    <w:rsid w:val="00F47B77"/>
    <w:rsid w:val="00F47FA0"/>
    <w:rsid w:val="00F535AC"/>
    <w:rsid w:val="00F547B0"/>
    <w:rsid w:val="00F55540"/>
    <w:rsid w:val="00F55C31"/>
    <w:rsid w:val="00F63838"/>
    <w:rsid w:val="00F65083"/>
    <w:rsid w:val="00F656A2"/>
    <w:rsid w:val="00F65D3B"/>
    <w:rsid w:val="00F67A50"/>
    <w:rsid w:val="00F67C44"/>
    <w:rsid w:val="00F70C7E"/>
    <w:rsid w:val="00F720E0"/>
    <w:rsid w:val="00F724F3"/>
    <w:rsid w:val="00F751A5"/>
    <w:rsid w:val="00F80243"/>
    <w:rsid w:val="00F80554"/>
    <w:rsid w:val="00F8090A"/>
    <w:rsid w:val="00F825D4"/>
    <w:rsid w:val="00F84453"/>
    <w:rsid w:val="00F84EA1"/>
    <w:rsid w:val="00F861E5"/>
    <w:rsid w:val="00F86701"/>
    <w:rsid w:val="00F92B67"/>
    <w:rsid w:val="00F92F7C"/>
    <w:rsid w:val="00F93F00"/>
    <w:rsid w:val="00F949D1"/>
    <w:rsid w:val="00F96041"/>
    <w:rsid w:val="00F96655"/>
    <w:rsid w:val="00F972A7"/>
    <w:rsid w:val="00F9732F"/>
    <w:rsid w:val="00F97714"/>
    <w:rsid w:val="00F97E9C"/>
    <w:rsid w:val="00FA0ABD"/>
    <w:rsid w:val="00FA3389"/>
    <w:rsid w:val="00FA638A"/>
    <w:rsid w:val="00FA7198"/>
    <w:rsid w:val="00FA751F"/>
    <w:rsid w:val="00FA7B48"/>
    <w:rsid w:val="00FA7B69"/>
    <w:rsid w:val="00FB00CE"/>
    <w:rsid w:val="00FB023A"/>
    <w:rsid w:val="00FB07C6"/>
    <w:rsid w:val="00FB24FF"/>
    <w:rsid w:val="00FB5000"/>
    <w:rsid w:val="00FB5306"/>
    <w:rsid w:val="00FB5E78"/>
    <w:rsid w:val="00FB64B0"/>
    <w:rsid w:val="00FB68B2"/>
    <w:rsid w:val="00FB6CCB"/>
    <w:rsid w:val="00FB77D5"/>
    <w:rsid w:val="00FB7BC5"/>
    <w:rsid w:val="00FC0894"/>
    <w:rsid w:val="00FC183F"/>
    <w:rsid w:val="00FC1CA2"/>
    <w:rsid w:val="00FC271E"/>
    <w:rsid w:val="00FC2AC4"/>
    <w:rsid w:val="00FC310F"/>
    <w:rsid w:val="00FC4CB8"/>
    <w:rsid w:val="00FC5149"/>
    <w:rsid w:val="00FC5861"/>
    <w:rsid w:val="00FC5B57"/>
    <w:rsid w:val="00FC782D"/>
    <w:rsid w:val="00FC7907"/>
    <w:rsid w:val="00FC7BF5"/>
    <w:rsid w:val="00FD14A5"/>
    <w:rsid w:val="00FD1785"/>
    <w:rsid w:val="00FD1AFE"/>
    <w:rsid w:val="00FD45CA"/>
    <w:rsid w:val="00FD5204"/>
    <w:rsid w:val="00FD5A6B"/>
    <w:rsid w:val="00FD5C3E"/>
    <w:rsid w:val="00FE0013"/>
    <w:rsid w:val="00FE101F"/>
    <w:rsid w:val="00FE145D"/>
    <w:rsid w:val="00FE16B4"/>
    <w:rsid w:val="00FE26B8"/>
    <w:rsid w:val="00FE2C89"/>
    <w:rsid w:val="00FE7DA7"/>
    <w:rsid w:val="00FF0368"/>
    <w:rsid w:val="00FF180F"/>
    <w:rsid w:val="00FF4E86"/>
    <w:rsid w:val="00FF6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11849"/>
  <w15:docId w15:val="{88403C5D-19FD-4AD1-BAF5-A3AEC278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EFC"/>
    <w:rPr>
      <w:sz w:val="24"/>
      <w:szCs w:val="24"/>
    </w:rPr>
  </w:style>
  <w:style w:type="paragraph" w:styleId="Heading1">
    <w:name w:val="heading 1"/>
    <w:basedOn w:val="Normal"/>
    <w:next w:val="Normal"/>
    <w:link w:val="Heading1Char"/>
    <w:uiPriority w:val="9"/>
    <w:qFormat/>
    <w:rsid w:val="002959A0"/>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7C8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42E7E"/>
    <w:pPr>
      <w:keepNext/>
      <w:numPr>
        <w:ilvl w:val="2"/>
        <w:numId w:val="1"/>
      </w:numPr>
      <w:spacing w:before="240" w:after="60"/>
      <w:outlineLvl w:val="2"/>
    </w:pPr>
    <w:rPr>
      <w:rFonts w:ascii="Arial" w:hAnsi="Arial" w:cs="Arial"/>
      <w:bCs/>
      <w:i/>
      <w:sz w:val="26"/>
      <w:szCs w:val="26"/>
    </w:rPr>
  </w:style>
  <w:style w:type="paragraph" w:styleId="Heading4">
    <w:name w:val="heading 4"/>
    <w:basedOn w:val="Normal"/>
    <w:next w:val="Normal"/>
    <w:link w:val="Heading4Char"/>
    <w:qFormat/>
    <w:rsid w:val="007A7C80"/>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A7C80"/>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A7C80"/>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A7C80"/>
    <w:pPr>
      <w:numPr>
        <w:ilvl w:val="6"/>
        <w:numId w:val="1"/>
      </w:numPr>
      <w:spacing w:before="240" w:after="60"/>
      <w:outlineLvl w:val="6"/>
    </w:pPr>
  </w:style>
  <w:style w:type="paragraph" w:styleId="Heading8">
    <w:name w:val="heading 8"/>
    <w:basedOn w:val="Normal"/>
    <w:next w:val="Normal"/>
    <w:link w:val="Heading8Char"/>
    <w:qFormat/>
    <w:rsid w:val="007A7C80"/>
    <w:pPr>
      <w:numPr>
        <w:ilvl w:val="7"/>
        <w:numId w:val="1"/>
      </w:numPr>
      <w:spacing w:before="240" w:after="60"/>
      <w:outlineLvl w:val="7"/>
    </w:pPr>
    <w:rPr>
      <w:i/>
      <w:iCs/>
    </w:rPr>
  </w:style>
  <w:style w:type="paragraph" w:styleId="Heading9">
    <w:name w:val="heading 9"/>
    <w:basedOn w:val="Normal"/>
    <w:next w:val="Normal"/>
    <w:link w:val="Heading9Char"/>
    <w:qFormat/>
    <w:rsid w:val="007A7C8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732E72"/>
    <w:pPr>
      <w:ind w:left="720"/>
    </w:pPr>
  </w:style>
  <w:style w:type="paragraph" w:customStyle="1" w:styleId="AssignmentText">
    <w:name w:val="AssignmentText"/>
    <w:basedOn w:val="Normal"/>
    <w:rsid w:val="00297814"/>
    <w:pPr>
      <w:spacing w:after="360" w:line="480" w:lineRule="auto"/>
      <w:jc w:val="both"/>
    </w:pPr>
    <w:rPr>
      <w:szCs w:val="22"/>
    </w:rPr>
  </w:style>
  <w:style w:type="paragraph" w:styleId="TOC1">
    <w:name w:val="toc 1"/>
    <w:basedOn w:val="TOCHeading"/>
    <w:next w:val="Normal"/>
    <w:autoRedefine/>
    <w:uiPriority w:val="39"/>
    <w:qFormat/>
    <w:rsid w:val="005E4690"/>
    <w:pPr>
      <w:tabs>
        <w:tab w:val="left" w:pos="480"/>
        <w:tab w:val="right" w:leader="dot" w:pos="8222"/>
      </w:tabs>
      <w:spacing w:before="120" w:after="120"/>
      <w:jc w:val="both"/>
    </w:pPr>
    <w:rPr>
      <w:rFonts w:ascii="Times New Roman" w:hAnsi="Times New Roman"/>
      <w:caps/>
      <w:noProof/>
      <w:color w:val="auto"/>
      <w:szCs w:val="20"/>
    </w:rPr>
  </w:style>
  <w:style w:type="paragraph" w:styleId="TOC2">
    <w:name w:val="toc 2"/>
    <w:basedOn w:val="Normal"/>
    <w:next w:val="Normal"/>
    <w:autoRedefine/>
    <w:uiPriority w:val="39"/>
    <w:qFormat/>
    <w:rsid w:val="005E4690"/>
    <w:pPr>
      <w:tabs>
        <w:tab w:val="left" w:pos="720"/>
        <w:tab w:val="right" w:leader="dot" w:pos="8222"/>
      </w:tabs>
      <w:ind w:left="240"/>
    </w:pPr>
    <w:rPr>
      <w:smallCaps/>
      <w:noProof/>
      <w:sz w:val="28"/>
      <w:szCs w:val="28"/>
    </w:rPr>
  </w:style>
  <w:style w:type="paragraph" w:styleId="TOC3">
    <w:name w:val="toc 3"/>
    <w:basedOn w:val="Normal"/>
    <w:next w:val="Normal"/>
    <w:autoRedefine/>
    <w:uiPriority w:val="39"/>
    <w:qFormat/>
    <w:rsid w:val="00B16BC7"/>
    <w:pPr>
      <w:tabs>
        <w:tab w:val="left" w:pos="1200"/>
        <w:tab w:val="right" w:leader="dot" w:pos="8222"/>
      </w:tabs>
      <w:ind w:left="482" w:right="567"/>
    </w:pPr>
    <w:rPr>
      <w:i/>
      <w:iCs/>
      <w:sz w:val="20"/>
      <w:szCs w:val="20"/>
    </w:rPr>
  </w:style>
  <w:style w:type="character" w:styleId="Hyperlink">
    <w:name w:val="Hyperlink"/>
    <w:basedOn w:val="DefaultParagraphFont"/>
    <w:uiPriority w:val="99"/>
    <w:rsid w:val="00BC68F1"/>
    <w:rPr>
      <w:color w:val="0000FF"/>
      <w:u w:val="single"/>
    </w:rPr>
  </w:style>
  <w:style w:type="paragraph" w:styleId="Header">
    <w:name w:val="header"/>
    <w:basedOn w:val="Normal"/>
    <w:link w:val="HeaderChar"/>
    <w:uiPriority w:val="99"/>
    <w:rsid w:val="004B53AC"/>
    <w:pPr>
      <w:tabs>
        <w:tab w:val="center" w:pos="4153"/>
        <w:tab w:val="right" w:pos="8306"/>
      </w:tabs>
    </w:pPr>
  </w:style>
  <w:style w:type="paragraph" w:styleId="Footer">
    <w:name w:val="footer"/>
    <w:basedOn w:val="Normal"/>
    <w:link w:val="FooterChar"/>
    <w:uiPriority w:val="99"/>
    <w:rsid w:val="004B53AC"/>
    <w:pPr>
      <w:tabs>
        <w:tab w:val="center" w:pos="4153"/>
        <w:tab w:val="right" w:pos="8306"/>
      </w:tabs>
    </w:pPr>
  </w:style>
  <w:style w:type="character" w:styleId="PageNumber">
    <w:name w:val="page number"/>
    <w:basedOn w:val="DefaultParagraphFont"/>
    <w:rsid w:val="00D14C6B"/>
  </w:style>
  <w:style w:type="paragraph" w:styleId="TOC4">
    <w:name w:val="toc 4"/>
    <w:basedOn w:val="Normal"/>
    <w:next w:val="Normal"/>
    <w:autoRedefine/>
    <w:uiPriority w:val="39"/>
    <w:rsid w:val="001923BA"/>
    <w:pPr>
      <w:ind w:left="720"/>
    </w:pPr>
    <w:rPr>
      <w:sz w:val="18"/>
      <w:szCs w:val="18"/>
    </w:rPr>
  </w:style>
  <w:style w:type="paragraph" w:styleId="TOC5">
    <w:name w:val="toc 5"/>
    <w:basedOn w:val="Normal"/>
    <w:next w:val="Normal"/>
    <w:autoRedefine/>
    <w:uiPriority w:val="39"/>
    <w:rsid w:val="001923BA"/>
    <w:pPr>
      <w:ind w:left="960"/>
    </w:pPr>
    <w:rPr>
      <w:sz w:val="18"/>
      <w:szCs w:val="18"/>
    </w:rPr>
  </w:style>
  <w:style w:type="paragraph" w:styleId="TOC6">
    <w:name w:val="toc 6"/>
    <w:basedOn w:val="Normal"/>
    <w:next w:val="Normal"/>
    <w:autoRedefine/>
    <w:uiPriority w:val="39"/>
    <w:rsid w:val="001923BA"/>
    <w:pPr>
      <w:ind w:left="1200"/>
    </w:pPr>
    <w:rPr>
      <w:sz w:val="18"/>
      <w:szCs w:val="18"/>
    </w:rPr>
  </w:style>
  <w:style w:type="paragraph" w:styleId="TOC7">
    <w:name w:val="toc 7"/>
    <w:basedOn w:val="Normal"/>
    <w:next w:val="Normal"/>
    <w:autoRedefine/>
    <w:uiPriority w:val="39"/>
    <w:rsid w:val="001923BA"/>
    <w:pPr>
      <w:ind w:left="1440"/>
    </w:pPr>
    <w:rPr>
      <w:sz w:val="18"/>
      <w:szCs w:val="18"/>
    </w:rPr>
  </w:style>
  <w:style w:type="paragraph" w:styleId="TOC8">
    <w:name w:val="toc 8"/>
    <w:basedOn w:val="Normal"/>
    <w:next w:val="Normal"/>
    <w:autoRedefine/>
    <w:uiPriority w:val="39"/>
    <w:rsid w:val="001923BA"/>
    <w:pPr>
      <w:ind w:left="1680"/>
    </w:pPr>
    <w:rPr>
      <w:sz w:val="18"/>
      <w:szCs w:val="18"/>
    </w:rPr>
  </w:style>
  <w:style w:type="paragraph" w:styleId="TOC9">
    <w:name w:val="toc 9"/>
    <w:basedOn w:val="Normal"/>
    <w:next w:val="Normal"/>
    <w:autoRedefine/>
    <w:uiPriority w:val="39"/>
    <w:rsid w:val="001923BA"/>
    <w:pPr>
      <w:ind w:left="1920"/>
    </w:pPr>
    <w:rPr>
      <w:sz w:val="18"/>
      <w:szCs w:val="18"/>
    </w:rPr>
  </w:style>
  <w:style w:type="paragraph" w:styleId="NormalWeb">
    <w:name w:val="Normal (Web)"/>
    <w:basedOn w:val="Normal"/>
    <w:uiPriority w:val="99"/>
    <w:rsid w:val="001F5858"/>
    <w:pPr>
      <w:spacing w:before="100" w:beforeAutospacing="1" w:after="100" w:afterAutospacing="1"/>
    </w:pPr>
    <w:rPr>
      <w:lang w:val="en-US" w:eastAsia="en-US"/>
    </w:rPr>
  </w:style>
  <w:style w:type="character" w:styleId="Emphasis">
    <w:name w:val="Emphasis"/>
    <w:basedOn w:val="DefaultParagraphFont"/>
    <w:uiPriority w:val="20"/>
    <w:qFormat/>
    <w:rsid w:val="007653F8"/>
    <w:rPr>
      <w:i/>
      <w:iCs/>
    </w:rPr>
  </w:style>
  <w:style w:type="character" w:styleId="PlaceholderText">
    <w:name w:val="Placeholder Text"/>
    <w:basedOn w:val="DefaultParagraphFont"/>
    <w:uiPriority w:val="99"/>
    <w:semiHidden/>
    <w:rsid w:val="006D4703"/>
    <w:rPr>
      <w:color w:val="808080"/>
    </w:rPr>
  </w:style>
  <w:style w:type="paragraph" w:styleId="BalloonText">
    <w:name w:val="Balloon Text"/>
    <w:basedOn w:val="Normal"/>
    <w:link w:val="BalloonTextChar"/>
    <w:uiPriority w:val="99"/>
    <w:unhideWhenUsed/>
    <w:rsid w:val="006D4703"/>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6D4703"/>
    <w:rPr>
      <w:rFonts w:ascii="Tahoma" w:eastAsia="Calibri" w:hAnsi="Tahoma" w:cs="Tahoma"/>
      <w:sz w:val="16"/>
      <w:szCs w:val="16"/>
      <w:lang w:eastAsia="en-US"/>
    </w:rPr>
  </w:style>
  <w:style w:type="table" w:styleId="TableGrid">
    <w:name w:val="Table Grid"/>
    <w:basedOn w:val="TableNormal"/>
    <w:rsid w:val="006D470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D4703"/>
    <w:pPr>
      <w:spacing w:after="200" w:line="276" w:lineRule="auto"/>
      <w:ind w:left="720"/>
      <w:contextualSpacing/>
    </w:pPr>
    <w:rPr>
      <w:rFonts w:ascii="Calibri" w:eastAsia="Calibri" w:hAnsi="Calibri"/>
      <w:sz w:val="22"/>
      <w:szCs w:val="22"/>
      <w:lang w:eastAsia="en-US"/>
    </w:rPr>
  </w:style>
  <w:style w:type="character" w:customStyle="1" w:styleId="text">
    <w:name w:val="text"/>
    <w:basedOn w:val="DefaultParagraphFont"/>
    <w:rsid w:val="006D4703"/>
  </w:style>
  <w:style w:type="paragraph" w:styleId="TableofFigures">
    <w:name w:val="table of figures"/>
    <w:basedOn w:val="Normal"/>
    <w:next w:val="Normal"/>
    <w:uiPriority w:val="99"/>
    <w:rsid w:val="006D4703"/>
    <w:pPr>
      <w:ind w:left="480" w:hanging="480"/>
    </w:pPr>
    <w:rPr>
      <w:smallCaps/>
      <w:sz w:val="20"/>
      <w:szCs w:val="20"/>
    </w:rPr>
  </w:style>
  <w:style w:type="character" w:customStyle="1" w:styleId="Heading1Char">
    <w:name w:val="Heading 1 Char"/>
    <w:basedOn w:val="DefaultParagraphFont"/>
    <w:link w:val="Heading1"/>
    <w:uiPriority w:val="9"/>
    <w:rsid w:val="002959A0"/>
    <w:rPr>
      <w:rFonts w:ascii="Arial" w:hAnsi="Arial" w:cs="Arial"/>
      <w:b/>
      <w:bCs/>
      <w:kern w:val="32"/>
      <w:sz w:val="32"/>
      <w:szCs w:val="32"/>
    </w:rPr>
  </w:style>
  <w:style w:type="character" w:customStyle="1" w:styleId="Heading2Char">
    <w:name w:val="Heading 2 Char"/>
    <w:basedOn w:val="DefaultParagraphFont"/>
    <w:link w:val="Heading2"/>
    <w:uiPriority w:val="9"/>
    <w:rsid w:val="006D4703"/>
    <w:rPr>
      <w:rFonts w:ascii="Arial" w:hAnsi="Arial" w:cs="Arial"/>
      <w:b/>
      <w:bCs/>
      <w:i/>
      <w:iCs/>
      <w:sz w:val="28"/>
      <w:szCs w:val="28"/>
    </w:rPr>
  </w:style>
  <w:style w:type="character" w:customStyle="1" w:styleId="Heading3Char">
    <w:name w:val="Heading 3 Char"/>
    <w:basedOn w:val="DefaultParagraphFont"/>
    <w:link w:val="Heading3"/>
    <w:uiPriority w:val="9"/>
    <w:rsid w:val="00342E7E"/>
    <w:rPr>
      <w:rFonts w:ascii="Arial" w:hAnsi="Arial" w:cs="Arial"/>
      <w:bCs/>
      <w:i/>
      <w:sz w:val="26"/>
      <w:szCs w:val="26"/>
    </w:rPr>
  </w:style>
  <w:style w:type="character" w:customStyle="1" w:styleId="HeaderChar">
    <w:name w:val="Header Char"/>
    <w:basedOn w:val="DefaultParagraphFont"/>
    <w:link w:val="Header"/>
    <w:uiPriority w:val="99"/>
    <w:rsid w:val="006D4703"/>
    <w:rPr>
      <w:sz w:val="24"/>
      <w:szCs w:val="24"/>
    </w:rPr>
  </w:style>
  <w:style w:type="character" w:customStyle="1" w:styleId="FooterChar">
    <w:name w:val="Footer Char"/>
    <w:basedOn w:val="DefaultParagraphFont"/>
    <w:link w:val="Footer"/>
    <w:uiPriority w:val="99"/>
    <w:rsid w:val="006D4703"/>
    <w:rPr>
      <w:sz w:val="24"/>
      <w:szCs w:val="24"/>
    </w:rPr>
  </w:style>
  <w:style w:type="paragraph" w:styleId="TOCHeading">
    <w:name w:val="TOC Heading"/>
    <w:basedOn w:val="Heading1"/>
    <w:next w:val="Normal"/>
    <w:uiPriority w:val="39"/>
    <w:semiHidden/>
    <w:unhideWhenUsed/>
    <w:qFormat/>
    <w:rsid w:val="00281BDF"/>
    <w:pPr>
      <w:keepLines/>
      <w:numPr>
        <w:numId w:val="0"/>
      </w:numPr>
      <w:spacing w:before="480" w:after="0" w:line="276" w:lineRule="auto"/>
      <w:jc w:val="left"/>
      <w:outlineLvl w:val="9"/>
    </w:pPr>
    <w:rPr>
      <w:rFonts w:ascii="Cambria" w:hAnsi="Cambria" w:cs="Times New Roman"/>
      <w:color w:val="365F91"/>
      <w:kern w:val="0"/>
      <w:sz w:val="28"/>
      <w:szCs w:val="28"/>
      <w:lang w:val="en-US" w:eastAsia="en-US"/>
    </w:rPr>
  </w:style>
  <w:style w:type="character" w:styleId="FollowedHyperlink">
    <w:name w:val="FollowedHyperlink"/>
    <w:basedOn w:val="DefaultParagraphFont"/>
    <w:uiPriority w:val="99"/>
    <w:unhideWhenUsed/>
    <w:rsid w:val="006D4703"/>
    <w:rPr>
      <w:color w:val="800080"/>
      <w:u w:val="single"/>
    </w:rPr>
  </w:style>
  <w:style w:type="character" w:styleId="HTMLCite">
    <w:name w:val="HTML Cite"/>
    <w:basedOn w:val="DefaultParagraphFont"/>
    <w:uiPriority w:val="99"/>
    <w:unhideWhenUsed/>
    <w:rsid w:val="006D4703"/>
    <w:rPr>
      <w:i/>
      <w:iCs/>
    </w:rPr>
  </w:style>
  <w:style w:type="paragraph" w:styleId="EndnoteText">
    <w:name w:val="endnote text"/>
    <w:basedOn w:val="Normal"/>
    <w:link w:val="EndnoteTextChar"/>
    <w:uiPriority w:val="99"/>
    <w:unhideWhenUsed/>
    <w:rsid w:val="006D4703"/>
    <w:rPr>
      <w:rFonts w:ascii="Calibri" w:eastAsia="Calibri" w:hAnsi="Calibri"/>
      <w:sz w:val="20"/>
      <w:szCs w:val="20"/>
      <w:lang w:eastAsia="en-US"/>
    </w:rPr>
  </w:style>
  <w:style w:type="character" w:customStyle="1" w:styleId="EndnoteTextChar">
    <w:name w:val="Endnote Text Char"/>
    <w:basedOn w:val="DefaultParagraphFont"/>
    <w:link w:val="EndnoteText"/>
    <w:uiPriority w:val="99"/>
    <w:rsid w:val="006D4703"/>
    <w:rPr>
      <w:rFonts w:ascii="Calibri" w:eastAsia="Calibri" w:hAnsi="Calibri" w:cs="Times New Roman"/>
      <w:lang w:eastAsia="en-US"/>
    </w:rPr>
  </w:style>
  <w:style w:type="character" w:styleId="EndnoteReference">
    <w:name w:val="endnote reference"/>
    <w:basedOn w:val="DefaultParagraphFont"/>
    <w:uiPriority w:val="99"/>
    <w:unhideWhenUsed/>
    <w:rsid w:val="006D4703"/>
    <w:rPr>
      <w:vertAlign w:val="superscript"/>
    </w:rPr>
  </w:style>
  <w:style w:type="paragraph" w:styleId="FootnoteText">
    <w:name w:val="footnote text"/>
    <w:basedOn w:val="Normal"/>
    <w:link w:val="FootnoteTextChar"/>
    <w:uiPriority w:val="99"/>
    <w:unhideWhenUsed/>
    <w:rsid w:val="006D4703"/>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6D4703"/>
    <w:rPr>
      <w:rFonts w:ascii="Calibri" w:eastAsia="Calibri" w:hAnsi="Calibri" w:cs="Times New Roman"/>
      <w:lang w:eastAsia="en-US"/>
    </w:rPr>
  </w:style>
  <w:style w:type="character" w:styleId="FootnoteReference">
    <w:name w:val="footnote reference"/>
    <w:basedOn w:val="DefaultParagraphFont"/>
    <w:uiPriority w:val="99"/>
    <w:unhideWhenUsed/>
    <w:rsid w:val="006D4703"/>
    <w:rPr>
      <w:vertAlign w:val="superscript"/>
    </w:rPr>
  </w:style>
  <w:style w:type="paragraph" w:styleId="PlainText">
    <w:name w:val="Plain Text"/>
    <w:basedOn w:val="Normal"/>
    <w:link w:val="PlainTextChar"/>
    <w:unhideWhenUsed/>
    <w:rsid w:val="006D4703"/>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6D4703"/>
    <w:rPr>
      <w:rFonts w:ascii="Consolas" w:eastAsia="Calibri" w:hAnsi="Consolas" w:cs="Times New Roman"/>
      <w:sz w:val="21"/>
      <w:szCs w:val="21"/>
      <w:lang w:eastAsia="en-US"/>
    </w:rPr>
  </w:style>
  <w:style w:type="paragraph" w:customStyle="1" w:styleId="FigureHead">
    <w:name w:val="FigureHead"/>
    <w:basedOn w:val="Normal"/>
    <w:link w:val="FigureHeadChar"/>
    <w:qFormat/>
    <w:rsid w:val="002312ED"/>
    <w:pPr>
      <w:ind w:left="567" w:right="567"/>
      <w:jc w:val="center"/>
    </w:pPr>
    <w:rPr>
      <w:b/>
      <w:noProof/>
    </w:rPr>
  </w:style>
  <w:style w:type="character" w:customStyle="1" w:styleId="FigureHeadChar">
    <w:name w:val="FigureHead Char"/>
    <w:basedOn w:val="DefaultParagraphFont"/>
    <w:link w:val="FigureHead"/>
    <w:rsid w:val="002312ED"/>
    <w:rPr>
      <w:b/>
      <w:noProof/>
      <w:sz w:val="24"/>
      <w:szCs w:val="24"/>
    </w:rPr>
  </w:style>
  <w:style w:type="character" w:customStyle="1" w:styleId="Heading4Char">
    <w:name w:val="Heading 4 Char"/>
    <w:basedOn w:val="DefaultParagraphFont"/>
    <w:link w:val="Heading4"/>
    <w:rsid w:val="00FE5245"/>
    <w:rPr>
      <w:b/>
      <w:bCs/>
      <w:sz w:val="28"/>
      <w:szCs w:val="28"/>
    </w:rPr>
  </w:style>
  <w:style w:type="character" w:customStyle="1" w:styleId="Heading5Char">
    <w:name w:val="Heading 5 Char"/>
    <w:basedOn w:val="DefaultParagraphFont"/>
    <w:link w:val="Heading5"/>
    <w:rsid w:val="00FE5245"/>
    <w:rPr>
      <w:b/>
      <w:bCs/>
      <w:i/>
      <w:iCs/>
      <w:sz w:val="26"/>
      <w:szCs w:val="26"/>
    </w:rPr>
  </w:style>
  <w:style w:type="character" w:customStyle="1" w:styleId="Heading6Char">
    <w:name w:val="Heading 6 Char"/>
    <w:basedOn w:val="DefaultParagraphFont"/>
    <w:link w:val="Heading6"/>
    <w:rsid w:val="00FE5245"/>
    <w:rPr>
      <w:b/>
      <w:bCs/>
      <w:sz w:val="22"/>
      <w:szCs w:val="22"/>
    </w:rPr>
  </w:style>
  <w:style w:type="character" w:customStyle="1" w:styleId="Heading7Char">
    <w:name w:val="Heading 7 Char"/>
    <w:basedOn w:val="DefaultParagraphFont"/>
    <w:link w:val="Heading7"/>
    <w:rsid w:val="00FE5245"/>
    <w:rPr>
      <w:sz w:val="24"/>
      <w:szCs w:val="24"/>
    </w:rPr>
  </w:style>
  <w:style w:type="character" w:customStyle="1" w:styleId="Heading8Char">
    <w:name w:val="Heading 8 Char"/>
    <w:basedOn w:val="DefaultParagraphFont"/>
    <w:link w:val="Heading8"/>
    <w:rsid w:val="00FE5245"/>
    <w:rPr>
      <w:i/>
      <w:iCs/>
      <w:sz w:val="24"/>
      <w:szCs w:val="24"/>
    </w:rPr>
  </w:style>
  <w:style w:type="character" w:customStyle="1" w:styleId="Heading9Char">
    <w:name w:val="Heading 9 Char"/>
    <w:basedOn w:val="DefaultParagraphFont"/>
    <w:link w:val="Heading9"/>
    <w:rsid w:val="00FE5245"/>
    <w:rPr>
      <w:rFonts w:ascii="Arial" w:hAnsi="Arial" w:cs="Arial"/>
      <w:sz w:val="22"/>
      <w:szCs w:val="22"/>
    </w:rPr>
  </w:style>
  <w:style w:type="paragraph" w:styleId="DocumentMap">
    <w:name w:val="Document Map"/>
    <w:basedOn w:val="Normal"/>
    <w:link w:val="DocumentMapChar"/>
    <w:rsid w:val="00B60E43"/>
    <w:rPr>
      <w:rFonts w:ascii="Tahoma" w:hAnsi="Tahoma" w:cs="Tahoma"/>
      <w:sz w:val="16"/>
      <w:szCs w:val="16"/>
    </w:rPr>
  </w:style>
  <w:style w:type="character" w:customStyle="1" w:styleId="DocumentMapChar">
    <w:name w:val="Document Map Char"/>
    <w:basedOn w:val="DefaultParagraphFont"/>
    <w:link w:val="DocumentMap"/>
    <w:rsid w:val="00B60E43"/>
    <w:rPr>
      <w:rFonts w:ascii="Tahoma" w:hAnsi="Tahoma" w:cs="Tahoma"/>
      <w:sz w:val="16"/>
      <w:szCs w:val="16"/>
    </w:rPr>
  </w:style>
  <w:style w:type="paragraph" w:customStyle="1" w:styleId="BiblioFont">
    <w:name w:val="BiblioFont"/>
    <w:basedOn w:val="AssignmentText"/>
    <w:rsid w:val="002824FB"/>
    <w:pPr>
      <w:spacing w:after="120" w:line="240" w:lineRule="auto"/>
      <w:ind w:left="720" w:hanging="720"/>
      <w:jc w:val="left"/>
    </w:pPr>
    <w:rPr>
      <w:szCs w:val="20"/>
    </w:rPr>
  </w:style>
  <w:style w:type="character" w:customStyle="1" w:styleId="apple-style-span">
    <w:name w:val="apple-style-span"/>
    <w:basedOn w:val="DefaultParagraphFont"/>
    <w:rsid w:val="004E2F11"/>
  </w:style>
  <w:style w:type="paragraph" w:styleId="HTMLPreformatted">
    <w:name w:val="HTML Preformatted"/>
    <w:basedOn w:val="Normal"/>
    <w:link w:val="HTMLPreformattedChar"/>
    <w:uiPriority w:val="99"/>
    <w:unhideWhenUsed/>
    <w:rsid w:val="007B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B5A2F"/>
    <w:rPr>
      <w:rFonts w:ascii="Courier New" w:hAnsi="Courier New" w:cs="Courier New"/>
    </w:rPr>
  </w:style>
  <w:style w:type="paragraph" w:styleId="Caption">
    <w:name w:val="caption"/>
    <w:basedOn w:val="Normal"/>
    <w:next w:val="Normal"/>
    <w:unhideWhenUsed/>
    <w:qFormat/>
    <w:rsid w:val="00E04590"/>
    <w:pPr>
      <w:spacing w:after="200"/>
    </w:pPr>
    <w:rPr>
      <w:b/>
      <w:bCs/>
      <w:szCs w:val="18"/>
    </w:rPr>
  </w:style>
  <w:style w:type="paragraph" w:customStyle="1" w:styleId="StyleCaptionBody11ptCentered">
    <w:name w:val="Style Caption + +Body 11 pt Centered"/>
    <w:basedOn w:val="Caption"/>
    <w:rsid w:val="00E04590"/>
    <w:rPr>
      <w:szCs w:val="20"/>
    </w:rPr>
  </w:style>
  <w:style w:type="paragraph" w:customStyle="1" w:styleId="StyleCaptionCentered">
    <w:name w:val="Style Caption + Centered"/>
    <w:basedOn w:val="Caption"/>
    <w:rsid w:val="0067218E"/>
    <w:pPr>
      <w:jc w:val="center"/>
    </w:pPr>
    <w:rPr>
      <w:szCs w:val="20"/>
    </w:rPr>
  </w:style>
  <w:style w:type="paragraph" w:customStyle="1" w:styleId="StyleFigureHead">
    <w:name w:val="Style FigureHead +"/>
    <w:basedOn w:val="FigureHead"/>
    <w:rsid w:val="00995D7C"/>
    <w:pPr>
      <w:ind w:left="1134" w:right="1134"/>
    </w:pPr>
    <w:rPr>
      <w:bCs/>
    </w:rPr>
  </w:style>
  <w:style w:type="character" w:customStyle="1" w:styleId="apple-converted-space">
    <w:name w:val="apple-converted-space"/>
    <w:basedOn w:val="DefaultParagraphFont"/>
    <w:rsid w:val="006F2A89"/>
  </w:style>
  <w:style w:type="character" w:styleId="Strong">
    <w:name w:val="Strong"/>
    <w:basedOn w:val="DefaultParagraphFont"/>
    <w:uiPriority w:val="22"/>
    <w:qFormat/>
    <w:rsid w:val="00EE4F96"/>
    <w:rPr>
      <w:b/>
      <w:bCs/>
    </w:rPr>
  </w:style>
  <w:style w:type="paragraph" w:customStyle="1" w:styleId="Default">
    <w:name w:val="Default"/>
    <w:rsid w:val="00537D55"/>
    <w:pPr>
      <w:autoSpaceDE w:val="0"/>
      <w:autoSpaceDN w:val="0"/>
      <w:adjustRightInd w:val="0"/>
    </w:pPr>
    <w:rPr>
      <w:color w:val="000000"/>
      <w:sz w:val="24"/>
      <w:szCs w:val="24"/>
      <w:lang w:val="en-US"/>
    </w:rPr>
  </w:style>
  <w:style w:type="character" w:customStyle="1" w:styleId="spellingerror">
    <w:name w:val="spellingerror"/>
    <w:basedOn w:val="DefaultParagraphFont"/>
    <w:rsid w:val="00A779B8"/>
  </w:style>
  <w:style w:type="character" w:customStyle="1" w:styleId="normaltextrun">
    <w:name w:val="normaltextrun"/>
    <w:basedOn w:val="DefaultParagraphFont"/>
    <w:rsid w:val="00A779B8"/>
  </w:style>
  <w:style w:type="character" w:customStyle="1" w:styleId="eop">
    <w:name w:val="eop"/>
    <w:basedOn w:val="DefaultParagraphFont"/>
    <w:rsid w:val="00A779B8"/>
  </w:style>
  <w:style w:type="character" w:customStyle="1" w:styleId="word">
    <w:name w:val="word"/>
    <w:basedOn w:val="DefaultParagraphFont"/>
    <w:rsid w:val="0010653F"/>
  </w:style>
  <w:style w:type="paragraph" w:styleId="Index1">
    <w:name w:val="index 1"/>
    <w:basedOn w:val="Normal"/>
    <w:next w:val="Normal"/>
    <w:autoRedefine/>
    <w:unhideWhenUsed/>
    <w:rsid w:val="00EB6835"/>
    <w:pPr>
      <w:ind w:left="240" w:hanging="240"/>
    </w:pPr>
    <w:rPr>
      <w:rFonts w:asciiTheme="minorHAnsi" w:hAnsiTheme="minorHAnsi" w:cstheme="minorHAnsi"/>
      <w:sz w:val="18"/>
      <w:szCs w:val="18"/>
    </w:rPr>
  </w:style>
  <w:style w:type="paragraph" w:styleId="Index2">
    <w:name w:val="index 2"/>
    <w:basedOn w:val="Normal"/>
    <w:next w:val="Normal"/>
    <w:autoRedefine/>
    <w:unhideWhenUsed/>
    <w:rsid w:val="00EB6835"/>
    <w:pPr>
      <w:ind w:left="480" w:hanging="240"/>
    </w:pPr>
    <w:rPr>
      <w:rFonts w:asciiTheme="minorHAnsi" w:hAnsiTheme="minorHAnsi" w:cstheme="minorHAnsi"/>
      <w:sz w:val="18"/>
      <w:szCs w:val="18"/>
    </w:rPr>
  </w:style>
  <w:style w:type="paragraph" w:styleId="Index3">
    <w:name w:val="index 3"/>
    <w:basedOn w:val="Normal"/>
    <w:next w:val="Normal"/>
    <w:autoRedefine/>
    <w:unhideWhenUsed/>
    <w:rsid w:val="00EB6835"/>
    <w:pPr>
      <w:ind w:left="720" w:hanging="240"/>
    </w:pPr>
    <w:rPr>
      <w:rFonts w:asciiTheme="minorHAnsi" w:hAnsiTheme="minorHAnsi" w:cstheme="minorHAnsi"/>
      <w:sz w:val="18"/>
      <w:szCs w:val="18"/>
    </w:rPr>
  </w:style>
  <w:style w:type="paragraph" w:styleId="Index4">
    <w:name w:val="index 4"/>
    <w:basedOn w:val="Normal"/>
    <w:next w:val="Normal"/>
    <w:autoRedefine/>
    <w:unhideWhenUsed/>
    <w:rsid w:val="00EB6835"/>
    <w:pPr>
      <w:ind w:left="960" w:hanging="240"/>
    </w:pPr>
    <w:rPr>
      <w:rFonts w:asciiTheme="minorHAnsi" w:hAnsiTheme="minorHAnsi" w:cstheme="minorHAnsi"/>
      <w:sz w:val="18"/>
      <w:szCs w:val="18"/>
    </w:rPr>
  </w:style>
  <w:style w:type="paragraph" w:styleId="Index5">
    <w:name w:val="index 5"/>
    <w:basedOn w:val="Normal"/>
    <w:next w:val="Normal"/>
    <w:autoRedefine/>
    <w:unhideWhenUsed/>
    <w:rsid w:val="00EB6835"/>
    <w:pPr>
      <w:ind w:left="1200" w:hanging="240"/>
    </w:pPr>
    <w:rPr>
      <w:rFonts w:asciiTheme="minorHAnsi" w:hAnsiTheme="minorHAnsi" w:cstheme="minorHAnsi"/>
      <w:sz w:val="18"/>
      <w:szCs w:val="18"/>
    </w:rPr>
  </w:style>
  <w:style w:type="paragraph" w:styleId="Index6">
    <w:name w:val="index 6"/>
    <w:basedOn w:val="Normal"/>
    <w:next w:val="Normal"/>
    <w:autoRedefine/>
    <w:unhideWhenUsed/>
    <w:rsid w:val="00EB6835"/>
    <w:pPr>
      <w:ind w:left="1440" w:hanging="240"/>
    </w:pPr>
    <w:rPr>
      <w:rFonts w:asciiTheme="minorHAnsi" w:hAnsiTheme="minorHAnsi" w:cstheme="minorHAnsi"/>
      <w:sz w:val="18"/>
      <w:szCs w:val="18"/>
    </w:rPr>
  </w:style>
  <w:style w:type="paragraph" w:styleId="Index7">
    <w:name w:val="index 7"/>
    <w:basedOn w:val="Normal"/>
    <w:next w:val="Normal"/>
    <w:autoRedefine/>
    <w:unhideWhenUsed/>
    <w:rsid w:val="00EB6835"/>
    <w:pPr>
      <w:ind w:left="1680" w:hanging="240"/>
    </w:pPr>
    <w:rPr>
      <w:rFonts w:asciiTheme="minorHAnsi" w:hAnsiTheme="minorHAnsi" w:cstheme="minorHAnsi"/>
      <w:sz w:val="18"/>
      <w:szCs w:val="18"/>
    </w:rPr>
  </w:style>
  <w:style w:type="paragraph" w:styleId="Index8">
    <w:name w:val="index 8"/>
    <w:basedOn w:val="Normal"/>
    <w:next w:val="Normal"/>
    <w:autoRedefine/>
    <w:unhideWhenUsed/>
    <w:rsid w:val="00EB6835"/>
    <w:pPr>
      <w:ind w:left="1920" w:hanging="240"/>
    </w:pPr>
    <w:rPr>
      <w:rFonts w:asciiTheme="minorHAnsi" w:hAnsiTheme="minorHAnsi" w:cstheme="minorHAnsi"/>
      <w:sz w:val="18"/>
      <w:szCs w:val="18"/>
    </w:rPr>
  </w:style>
  <w:style w:type="paragraph" w:styleId="Index9">
    <w:name w:val="index 9"/>
    <w:basedOn w:val="Normal"/>
    <w:next w:val="Normal"/>
    <w:autoRedefine/>
    <w:unhideWhenUsed/>
    <w:rsid w:val="00EB6835"/>
    <w:pPr>
      <w:ind w:left="2160" w:hanging="240"/>
    </w:pPr>
    <w:rPr>
      <w:rFonts w:asciiTheme="minorHAnsi" w:hAnsiTheme="minorHAnsi" w:cstheme="minorHAnsi"/>
      <w:sz w:val="18"/>
      <w:szCs w:val="18"/>
    </w:rPr>
  </w:style>
  <w:style w:type="paragraph" w:styleId="IndexHeading">
    <w:name w:val="index heading"/>
    <w:basedOn w:val="Normal"/>
    <w:next w:val="Index1"/>
    <w:unhideWhenUsed/>
    <w:rsid w:val="00EB6835"/>
    <w:pPr>
      <w:pBdr>
        <w:top w:val="single" w:sz="12" w:space="0" w:color="auto"/>
      </w:pBdr>
      <w:spacing w:before="360" w:after="240"/>
    </w:pPr>
    <w:rPr>
      <w:rFonts w:asciiTheme="minorHAnsi" w:hAnsiTheme="minorHAnsi" w:cstheme="minorHAns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94192">
      <w:bodyDiv w:val="1"/>
      <w:marLeft w:val="0"/>
      <w:marRight w:val="0"/>
      <w:marTop w:val="0"/>
      <w:marBottom w:val="0"/>
      <w:divBdr>
        <w:top w:val="none" w:sz="0" w:space="0" w:color="auto"/>
        <w:left w:val="none" w:sz="0" w:space="0" w:color="auto"/>
        <w:bottom w:val="none" w:sz="0" w:space="0" w:color="auto"/>
        <w:right w:val="none" w:sz="0" w:space="0" w:color="auto"/>
      </w:divBdr>
    </w:div>
    <w:div w:id="227082489">
      <w:bodyDiv w:val="1"/>
      <w:marLeft w:val="0"/>
      <w:marRight w:val="0"/>
      <w:marTop w:val="0"/>
      <w:marBottom w:val="0"/>
      <w:divBdr>
        <w:top w:val="none" w:sz="0" w:space="0" w:color="auto"/>
        <w:left w:val="none" w:sz="0" w:space="0" w:color="auto"/>
        <w:bottom w:val="none" w:sz="0" w:space="0" w:color="auto"/>
        <w:right w:val="none" w:sz="0" w:space="0" w:color="auto"/>
      </w:divBdr>
    </w:div>
    <w:div w:id="263849507">
      <w:bodyDiv w:val="1"/>
      <w:marLeft w:val="0"/>
      <w:marRight w:val="0"/>
      <w:marTop w:val="0"/>
      <w:marBottom w:val="0"/>
      <w:divBdr>
        <w:top w:val="none" w:sz="0" w:space="0" w:color="auto"/>
        <w:left w:val="none" w:sz="0" w:space="0" w:color="auto"/>
        <w:bottom w:val="none" w:sz="0" w:space="0" w:color="auto"/>
        <w:right w:val="none" w:sz="0" w:space="0" w:color="auto"/>
      </w:divBdr>
    </w:div>
    <w:div w:id="295796695">
      <w:bodyDiv w:val="1"/>
      <w:marLeft w:val="0"/>
      <w:marRight w:val="0"/>
      <w:marTop w:val="0"/>
      <w:marBottom w:val="0"/>
      <w:divBdr>
        <w:top w:val="none" w:sz="0" w:space="0" w:color="auto"/>
        <w:left w:val="none" w:sz="0" w:space="0" w:color="auto"/>
        <w:bottom w:val="none" w:sz="0" w:space="0" w:color="auto"/>
        <w:right w:val="none" w:sz="0" w:space="0" w:color="auto"/>
      </w:divBdr>
    </w:div>
    <w:div w:id="349182970">
      <w:bodyDiv w:val="1"/>
      <w:marLeft w:val="0"/>
      <w:marRight w:val="0"/>
      <w:marTop w:val="0"/>
      <w:marBottom w:val="0"/>
      <w:divBdr>
        <w:top w:val="none" w:sz="0" w:space="0" w:color="auto"/>
        <w:left w:val="none" w:sz="0" w:space="0" w:color="auto"/>
        <w:bottom w:val="none" w:sz="0" w:space="0" w:color="auto"/>
        <w:right w:val="none" w:sz="0" w:space="0" w:color="auto"/>
      </w:divBdr>
    </w:div>
    <w:div w:id="421418105">
      <w:bodyDiv w:val="1"/>
      <w:marLeft w:val="0"/>
      <w:marRight w:val="0"/>
      <w:marTop w:val="0"/>
      <w:marBottom w:val="0"/>
      <w:divBdr>
        <w:top w:val="none" w:sz="0" w:space="0" w:color="auto"/>
        <w:left w:val="none" w:sz="0" w:space="0" w:color="auto"/>
        <w:bottom w:val="none" w:sz="0" w:space="0" w:color="auto"/>
        <w:right w:val="none" w:sz="0" w:space="0" w:color="auto"/>
      </w:divBdr>
    </w:div>
    <w:div w:id="577638282">
      <w:bodyDiv w:val="1"/>
      <w:marLeft w:val="0"/>
      <w:marRight w:val="0"/>
      <w:marTop w:val="0"/>
      <w:marBottom w:val="0"/>
      <w:divBdr>
        <w:top w:val="none" w:sz="0" w:space="0" w:color="auto"/>
        <w:left w:val="none" w:sz="0" w:space="0" w:color="auto"/>
        <w:bottom w:val="none" w:sz="0" w:space="0" w:color="auto"/>
        <w:right w:val="none" w:sz="0" w:space="0" w:color="auto"/>
      </w:divBdr>
      <w:divsChild>
        <w:div w:id="2093887559">
          <w:marLeft w:val="167"/>
          <w:marRight w:val="167"/>
          <w:marTop w:val="251"/>
          <w:marBottom w:val="0"/>
          <w:divBdr>
            <w:top w:val="none" w:sz="0" w:space="0" w:color="auto"/>
            <w:left w:val="none" w:sz="0" w:space="0" w:color="auto"/>
            <w:bottom w:val="none" w:sz="0" w:space="0" w:color="auto"/>
            <w:right w:val="none" w:sz="0" w:space="0" w:color="auto"/>
          </w:divBdr>
          <w:divsChild>
            <w:div w:id="1063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0411">
      <w:bodyDiv w:val="1"/>
      <w:marLeft w:val="0"/>
      <w:marRight w:val="0"/>
      <w:marTop w:val="0"/>
      <w:marBottom w:val="0"/>
      <w:divBdr>
        <w:top w:val="none" w:sz="0" w:space="0" w:color="auto"/>
        <w:left w:val="none" w:sz="0" w:space="0" w:color="auto"/>
        <w:bottom w:val="none" w:sz="0" w:space="0" w:color="auto"/>
        <w:right w:val="none" w:sz="0" w:space="0" w:color="auto"/>
      </w:divBdr>
      <w:divsChild>
        <w:div w:id="1318920733">
          <w:marLeft w:val="0"/>
          <w:marRight w:val="0"/>
          <w:marTop w:val="0"/>
          <w:marBottom w:val="0"/>
          <w:divBdr>
            <w:top w:val="single" w:sz="2" w:space="0" w:color="E9E9E9"/>
            <w:left w:val="single" w:sz="2" w:space="0" w:color="E9E9E9"/>
            <w:bottom w:val="single" w:sz="2" w:space="0" w:color="E9E9E9"/>
            <w:right w:val="single" w:sz="2" w:space="0" w:color="E9E9E9"/>
          </w:divBdr>
        </w:div>
        <w:div w:id="449856054">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673872963">
      <w:bodyDiv w:val="1"/>
      <w:marLeft w:val="0"/>
      <w:marRight w:val="0"/>
      <w:marTop w:val="0"/>
      <w:marBottom w:val="0"/>
      <w:divBdr>
        <w:top w:val="none" w:sz="0" w:space="0" w:color="auto"/>
        <w:left w:val="none" w:sz="0" w:space="0" w:color="auto"/>
        <w:bottom w:val="none" w:sz="0" w:space="0" w:color="auto"/>
        <w:right w:val="none" w:sz="0" w:space="0" w:color="auto"/>
      </w:divBdr>
    </w:div>
    <w:div w:id="743574970">
      <w:bodyDiv w:val="1"/>
      <w:marLeft w:val="0"/>
      <w:marRight w:val="0"/>
      <w:marTop w:val="0"/>
      <w:marBottom w:val="0"/>
      <w:divBdr>
        <w:top w:val="none" w:sz="0" w:space="0" w:color="auto"/>
        <w:left w:val="none" w:sz="0" w:space="0" w:color="auto"/>
        <w:bottom w:val="none" w:sz="0" w:space="0" w:color="auto"/>
        <w:right w:val="none" w:sz="0" w:space="0" w:color="auto"/>
      </w:divBdr>
      <w:divsChild>
        <w:div w:id="82922779">
          <w:marLeft w:val="0"/>
          <w:marRight w:val="0"/>
          <w:marTop w:val="0"/>
          <w:marBottom w:val="300"/>
          <w:divBdr>
            <w:top w:val="none" w:sz="0" w:space="0" w:color="auto"/>
            <w:left w:val="none" w:sz="0" w:space="0" w:color="auto"/>
            <w:bottom w:val="none" w:sz="0" w:space="0" w:color="auto"/>
            <w:right w:val="none" w:sz="0" w:space="0" w:color="auto"/>
          </w:divBdr>
        </w:div>
      </w:divsChild>
    </w:div>
    <w:div w:id="821583230">
      <w:bodyDiv w:val="1"/>
      <w:marLeft w:val="0"/>
      <w:marRight w:val="0"/>
      <w:marTop w:val="0"/>
      <w:marBottom w:val="0"/>
      <w:divBdr>
        <w:top w:val="none" w:sz="0" w:space="0" w:color="auto"/>
        <w:left w:val="none" w:sz="0" w:space="0" w:color="auto"/>
        <w:bottom w:val="none" w:sz="0" w:space="0" w:color="auto"/>
        <w:right w:val="none" w:sz="0" w:space="0" w:color="auto"/>
      </w:divBdr>
    </w:div>
    <w:div w:id="872308733">
      <w:bodyDiv w:val="1"/>
      <w:marLeft w:val="0"/>
      <w:marRight w:val="0"/>
      <w:marTop w:val="0"/>
      <w:marBottom w:val="0"/>
      <w:divBdr>
        <w:top w:val="none" w:sz="0" w:space="0" w:color="auto"/>
        <w:left w:val="none" w:sz="0" w:space="0" w:color="auto"/>
        <w:bottom w:val="none" w:sz="0" w:space="0" w:color="auto"/>
        <w:right w:val="none" w:sz="0" w:space="0" w:color="auto"/>
      </w:divBdr>
    </w:div>
    <w:div w:id="898590411">
      <w:bodyDiv w:val="1"/>
      <w:marLeft w:val="0"/>
      <w:marRight w:val="0"/>
      <w:marTop w:val="0"/>
      <w:marBottom w:val="0"/>
      <w:divBdr>
        <w:top w:val="none" w:sz="0" w:space="0" w:color="auto"/>
        <w:left w:val="none" w:sz="0" w:space="0" w:color="auto"/>
        <w:bottom w:val="none" w:sz="0" w:space="0" w:color="auto"/>
        <w:right w:val="none" w:sz="0" w:space="0" w:color="auto"/>
      </w:divBdr>
    </w:div>
    <w:div w:id="917522962">
      <w:bodyDiv w:val="1"/>
      <w:marLeft w:val="0"/>
      <w:marRight w:val="0"/>
      <w:marTop w:val="0"/>
      <w:marBottom w:val="0"/>
      <w:divBdr>
        <w:top w:val="none" w:sz="0" w:space="0" w:color="auto"/>
        <w:left w:val="none" w:sz="0" w:space="0" w:color="auto"/>
        <w:bottom w:val="none" w:sz="0" w:space="0" w:color="auto"/>
        <w:right w:val="none" w:sz="0" w:space="0" w:color="auto"/>
      </w:divBdr>
    </w:div>
    <w:div w:id="936711736">
      <w:bodyDiv w:val="1"/>
      <w:marLeft w:val="0"/>
      <w:marRight w:val="0"/>
      <w:marTop w:val="0"/>
      <w:marBottom w:val="0"/>
      <w:divBdr>
        <w:top w:val="none" w:sz="0" w:space="0" w:color="auto"/>
        <w:left w:val="none" w:sz="0" w:space="0" w:color="auto"/>
        <w:bottom w:val="none" w:sz="0" w:space="0" w:color="auto"/>
        <w:right w:val="none" w:sz="0" w:space="0" w:color="auto"/>
      </w:divBdr>
    </w:div>
    <w:div w:id="951861601">
      <w:bodyDiv w:val="1"/>
      <w:marLeft w:val="0"/>
      <w:marRight w:val="0"/>
      <w:marTop w:val="0"/>
      <w:marBottom w:val="0"/>
      <w:divBdr>
        <w:top w:val="none" w:sz="0" w:space="0" w:color="auto"/>
        <w:left w:val="none" w:sz="0" w:space="0" w:color="auto"/>
        <w:bottom w:val="none" w:sz="0" w:space="0" w:color="auto"/>
        <w:right w:val="none" w:sz="0" w:space="0" w:color="auto"/>
      </w:divBdr>
    </w:div>
    <w:div w:id="983971135">
      <w:bodyDiv w:val="1"/>
      <w:marLeft w:val="0"/>
      <w:marRight w:val="0"/>
      <w:marTop w:val="0"/>
      <w:marBottom w:val="0"/>
      <w:divBdr>
        <w:top w:val="none" w:sz="0" w:space="0" w:color="auto"/>
        <w:left w:val="none" w:sz="0" w:space="0" w:color="auto"/>
        <w:bottom w:val="none" w:sz="0" w:space="0" w:color="auto"/>
        <w:right w:val="none" w:sz="0" w:space="0" w:color="auto"/>
      </w:divBdr>
    </w:div>
    <w:div w:id="997996638">
      <w:bodyDiv w:val="1"/>
      <w:marLeft w:val="0"/>
      <w:marRight w:val="0"/>
      <w:marTop w:val="0"/>
      <w:marBottom w:val="0"/>
      <w:divBdr>
        <w:top w:val="none" w:sz="0" w:space="0" w:color="auto"/>
        <w:left w:val="none" w:sz="0" w:space="0" w:color="auto"/>
        <w:bottom w:val="none" w:sz="0" w:space="0" w:color="auto"/>
        <w:right w:val="none" w:sz="0" w:space="0" w:color="auto"/>
      </w:divBdr>
    </w:div>
    <w:div w:id="1155680973">
      <w:bodyDiv w:val="1"/>
      <w:marLeft w:val="0"/>
      <w:marRight w:val="0"/>
      <w:marTop w:val="0"/>
      <w:marBottom w:val="0"/>
      <w:divBdr>
        <w:top w:val="none" w:sz="0" w:space="0" w:color="auto"/>
        <w:left w:val="none" w:sz="0" w:space="0" w:color="auto"/>
        <w:bottom w:val="none" w:sz="0" w:space="0" w:color="auto"/>
        <w:right w:val="none" w:sz="0" w:space="0" w:color="auto"/>
      </w:divBdr>
    </w:div>
    <w:div w:id="1339773741">
      <w:bodyDiv w:val="1"/>
      <w:marLeft w:val="0"/>
      <w:marRight w:val="0"/>
      <w:marTop w:val="0"/>
      <w:marBottom w:val="0"/>
      <w:divBdr>
        <w:top w:val="none" w:sz="0" w:space="0" w:color="auto"/>
        <w:left w:val="none" w:sz="0" w:space="0" w:color="auto"/>
        <w:bottom w:val="none" w:sz="0" w:space="0" w:color="auto"/>
        <w:right w:val="none" w:sz="0" w:space="0" w:color="auto"/>
      </w:divBdr>
      <w:divsChild>
        <w:div w:id="1235970051">
          <w:marLeft w:val="187"/>
          <w:marRight w:val="187"/>
          <w:marTop w:val="281"/>
          <w:marBottom w:val="0"/>
          <w:divBdr>
            <w:top w:val="none" w:sz="0" w:space="0" w:color="auto"/>
            <w:left w:val="none" w:sz="0" w:space="0" w:color="auto"/>
            <w:bottom w:val="none" w:sz="0" w:space="0" w:color="auto"/>
            <w:right w:val="none" w:sz="0" w:space="0" w:color="auto"/>
          </w:divBdr>
          <w:divsChild>
            <w:div w:id="1734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3036">
      <w:bodyDiv w:val="1"/>
      <w:marLeft w:val="0"/>
      <w:marRight w:val="0"/>
      <w:marTop w:val="0"/>
      <w:marBottom w:val="0"/>
      <w:divBdr>
        <w:top w:val="none" w:sz="0" w:space="0" w:color="auto"/>
        <w:left w:val="none" w:sz="0" w:space="0" w:color="auto"/>
        <w:bottom w:val="none" w:sz="0" w:space="0" w:color="auto"/>
        <w:right w:val="none" w:sz="0" w:space="0" w:color="auto"/>
      </w:divBdr>
    </w:div>
    <w:div w:id="1621452526">
      <w:bodyDiv w:val="1"/>
      <w:marLeft w:val="0"/>
      <w:marRight w:val="0"/>
      <w:marTop w:val="0"/>
      <w:marBottom w:val="0"/>
      <w:divBdr>
        <w:top w:val="none" w:sz="0" w:space="0" w:color="auto"/>
        <w:left w:val="none" w:sz="0" w:space="0" w:color="auto"/>
        <w:bottom w:val="none" w:sz="0" w:space="0" w:color="auto"/>
        <w:right w:val="none" w:sz="0" w:space="0" w:color="auto"/>
      </w:divBdr>
    </w:div>
    <w:div w:id="1657762184">
      <w:bodyDiv w:val="1"/>
      <w:marLeft w:val="0"/>
      <w:marRight w:val="0"/>
      <w:marTop w:val="0"/>
      <w:marBottom w:val="0"/>
      <w:divBdr>
        <w:top w:val="none" w:sz="0" w:space="0" w:color="auto"/>
        <w:left w:val="none" w:sz="0" w:space="0" w:color="auto"/>
        <w:bottom w:val="none" w:sz="0" w:space="0" w:color="auto"/>
        <w:right w:val="none" w:sz="0" w:space="0" w:color="auto"/>
      </w:divBdr>
      <w:divsChild>
        <w:div w:id="462623574">
          <w:marLeft w:val="187"/>
          <w:marRight w:val="187"/>
          <w:marTop w:val="281"/>
          <w:marBottom w:val="0"/>
          <w:divBdr>
            <w:top w:val="none" w:sz="0" w:space="0" w:color="auto"/>
            <w:left w:val="none" w:sz="0" w:space="0" w:color="auto"/>
            <w:bottom w:val="none" w:sz="0" w:space="0" w:color="auto"/>
            <w:right w:val="none" w:sz="0" w:space="0" w:color="auto"/>
          </w:divBdr>
          <w:divsChild>
            <w:div w:id="2562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7484">
      <w:bodyDiv w:val="1"/>
      <w:marLeft w:val="0"/>
      <w:marRight w:val="0"/>
      <w:marTop w:val="0"/>
      <w:marBottom w:val="0"/>
      <w:divBdr>
        <w:top w:val="none" w:sz="0" w:space="0" w:color="auto"/>
        <w:left w:val="none" w:sz="0" w:space="0" w:color="auto"/>
        <w:bottom w:val="none" w:sz="0" w:space="0" w:color="auto"/>
        <w:right w:val="none" w:sz="0" w:space="0" w:color="auto"/>
      </w:divBdr>
    </w:div>
    <w:div w:id="1789398722">
      <w:bodyDiv w:val="1"/>
      <w:marLeft w:val="0"/>
      <w:marRight w:val="0"/>
      <w:marTop w:val="0"/>
      <w:marBottom w:val="0"/>
      <w:divBdr>
        <w:top w:val="none" w:sz="0" w:space="0" w:color="auto"/>
        <w:left w:val="none" w:sz="0" w:space="0" w:color="auto"/>
        <w:bottom w:val="none" w:sz="0" w:space="0" w:color="auto"/>
        <w:right w:val="none" w:sz="0" w:space="0" w:color="auto"/>
      </w:divBdr>
    </w:div>
    <w:div w:id="1847473967">
      <w:bodyDiv w:val="1"/>
      <w:marLeft w:val="0"/>
      <w:marRight w:val="0"/>
      <w:marTop w:val="0"/>
      <w:marBottom w:val="0"/>
      <w:divBdr>
        <w:top w:val="none" w:sz="0" w:space="0" w:color="auto"/>
        <w:left w:val="none" w:sz="0" w:space="0" w:color="auto"/>
        <w:bottom w:val="none" w:sz="0" w:space="0" w:color="auto"/>
        <w:right w:val="none" w:sz="0" w:space="0" w:color="auto"/>
      </w:divBdr>
    </w:div>
    <w:div w:id="1864320319">
      <w:bodyDiv w:val="1"/>
      <w:marLeft w:val="0"/>
      <w:marRight w:val="0"/>
      <w:marTop w:val="0"/>
      <w:marBottom w:val="0"/>
      <w:divBdr>
        <w:top w:val="none" w:sz="0" w:space="0" w:color="auto"/>
        <w:left w:val="none" w:sz="0" w:space="0" w:color="auto"/>
        <w:bottom w:val="none" w:sz="0" w:space="0" w:color="auto"/>
        <w:right w:val="none" w:sz="0" w:space="0" w:color="auto"/>
      </w:divBdr>
    </w:div>
    <w:div w:id="2036274821">
      <w:bodyDiv w:val="1"/>
      <w:marLeft w:val="0"/>
      <w:marRight w:val="0"/>
      <w:marTop w:val="0"/>
      <w:marBottom w:val="0"/>
      <w:divBdr>
        <w:top w:val="none" w:sz="0" w:space="0" w:color="auto"/>
        <w:left w:val="none" w:sz="0" w:space="0" w:color="auto"/>
        <w:bottom w:val="none" w:sz="0" w:space="0" w:color="auto"/>
        <w:right w:val="none" w:sz="0" w:space="0" w:color="auto"/>
      </w:divBdr>
    </w:div>
    <w:div w:id="2091152766">
      <w:bodyDiv w:val="1"/>
      <w:marLeft w:val="0"/>
      <w:marRight w:val="0"/>
      <w:marTop w:val="0"/>
      <w:marBottom w:val="0"/>
      <w:divBdr>
        <w:top w:val="none" w:sz="0" w:space="0" w:color="auto"/>
        <w:left w:val="none" w:sz="0" w:space="0" w:color="auto"/>
        <w:bottom w:val="none" w:sz="0" w:space="0" w:color="auto"/>
        <w:right w:val="none" w:sz="0" w:space="0" w:color="auto"/>
      </w:divBdr>
    </w:div>
    <w:div w:id="214161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image" Target="media/image20.png"/><Relationship Id="rId21" Type="http://schemas.openxmlformats.org/officeDocument/2006/relationships/image" Target="media/image8.png"/><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hyperlink" Target="https://www.imf.org/external/datamapper/NGDP_RPCH@WEO/OEMDC/ADVEC/WEOWORLD" TargetMode="External"/><Relationship Id="rId50" Type="http://schemas.openxmlformats.org/officeDocument/2006/relationships/hyperlink" Target="https://data.worldbank.org/indicator/SI.POV.GINI?end=2015&amp;start=2006"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chart" Target="charts/chart4.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hyperlink" Target="https://www.investopedia.com/terms/r/realgdp.asp"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cdn.economicsdiscussion.net/wp-content/uploads/2016/12/image-50.png" TargetMode="External"/><Relationship Id="rId31" Type="http://schemas.openxmlformats.org/officeDocument/2006/relationships/chart" Target="charts/chart5.xml"/><Relationship Id="rId44" Type="http://schemas.openxmlformats.org/officeDocument/2006/relationships/image" Target="media/image25.png"/><Relationship Id="rId52" Type="http://schemas.openxmlformats.org/officeDocument/2006/relationships/hyperlink" Target="https://www.investopedia.com/terms/g/gini-index.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9.jpeg"/><Relationship Id="rId27" Type="http://schemas.openxmlformats.org/officeDocument/2006/relationships/chart" Target="charts/chart3.xml"/><Relationship Id="rId30" Type="http://schemas.openxmlformats.org/officeDocument/2006/relationships/image" Target="media/image13.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hyperlink" Target="https://stats.oecd.or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data.worldbank.org/"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chart" Target="charts/chart2.xml"/><Relationship Id="rId33" Type="http://schemas.openxmlformats.org/officeDocument/2006/relationships/chart" Target="charts/chart6.xml"/><Relationship Id="rId38" Type="http://schemas.openxmlformats.org/officeDocument/2006/relationships/image" Target="media/image19.png"/><Relationship Id="rId46" Type="http://schemas.openxmlformats.org/officeDocument/2006/relationships/hyperlink" Target="https://www.investopedia.com/terms/g/gini-index.asp" TargetMode="External"/><Relationship Id="rId20" Type="http://schemas.openxmlformats.org/officeDocument/2006/relationships/image" Target="media/image7.png"/><Relationship Id="rId41" Type="http://schemas.openxmlformats.org/officeDocument/2006/relationships/image" Target="media/image22.pn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chart" Target="charts/chart1.xml"/><Relationship Id="rId28" Type="http://schemas.openxmlformats.org/officeDocument/2006/relationships/image" Target="media/image12.png"/><Relationship Id="rId36" Type="http://schemas.openxmlformats.org/officeDocument/2006/relationships/image" Target="media/image17.png"/><Relationship Id="rId49" Type="http://schemas.openxmlformats.org/officeDocument/2006/relationships/hyperlink" Target="https://sevenpillarsinstitute.org/consequences-economic-inequalit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AppData\Roaming\Microsoft\Windows\Network%20Shortcuts\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AppData\Roaming\Microsoft\Windows\Network%20Shortcuts\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AppData\Roaming\Microsoft\Windows\Network%20Shortcuts\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ider\Downloads\Book1%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der\Downloads\Book1%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der\Downloads\Book1%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guclu!$A$2</c:f>
              <c:strCache>
                <c:ptCount val="1"/>
                <c:pt idx="0">
                  <c:v>China</c:v>
                </c:pt>
              </c:strCache>
            </c:strRef>
          </c:tx>
          <c:spPr>
            <a:ln w="28575" cap="rnd">
              <a:solidFill>
                <a:schemeClr val="accent1"/>
              </a:solidFill>
              <a:round/>
            </a:ln>
            <a:effectLst/>
          </c:spPr>
          <c:marker>
            <c:symbol val="none"/>
          </c:marker>
          <c:cat>
            <c:numRef>
              <c:f>guclu!$B$1:$K$1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guclu!$B$2:$K$2</c:f>
              <c:numCache>
                <c:formatCode>General</c:formatCode>
                <c:ptCount val="10"/>
                <c:pt idx="0">
                  <c:v>12</c:v>
                </c:pt>
                <c:pt idx="1">
                  <c:v>14.2</c:v>
                </c:pt>
                <c:pt idx="2">
                  <c:v>9.6</c:v>
                </c:pt>
                <c:pt idx="3">
                  <c:v>9.1999999999999993</c:v>
                </c:pt>
                <c:pt idx="4">
                  <c:v>10.6</c:v>
                </c:pt>
                <c:pt idx="5">
                  <c:v>9.5</c:v>
                </c:pt>
                <c:pt idx="6">
                  <c:v>7.9</c:v>
                </c:pt>
                <c:pt idx="7">
                  <c:v>7.8</c:v>
                </c:pt>
                <c:pt idx="8">
                  <c:v>7.3</c:v>
                </c:pt>
                <c:pt idx="9">
                  <c:v>6.9</c:v>
                </c:pt>
              </c:numCache>
            </c:numRef>
          </c:val>
          <c:smooth val="0"/>
          <c:extLst xmlns:c16r2="http://schemas.microsoft.com/office/drawing/2015/06/chart">
            <c:ext xmlns:c16="http://schemas.microsoft.com/office/drawing/2014/chart" uri="{C3380CC4-5D6E-409C-BE32-E72D297353CC}">
              <c16:uniqueId val="{00000000-EB78-4717-B0E0-A534C489AE57}"/>
            </c:ext>
          </c:extLst>
        </c:ser>
        <c:ser>
          <c:idx val="1"/>
          <c:order val="1"/>
          <c:tx>
            <c:strRef>
              <c:f>guclu!$A$3</c:f>
              <c:strCache>
                <c:ptCount val="1"/>
                <c:pt idx="0">
                  <c:v>US</c:v>
                </c:pt>
              </c:strCache>
            </c:strRef>
          </c:tx>
          <c:spPr>
            <a:ln w="28575" cap="rnd">
              <a:solidFill>
                <a:schemeClr val="accent2"/>
              </a:solidFill>
              <a:round/>
            </a:ln>
            <a:effectLst/>
          </c:spPr>
          <c:marker>
            <c:symbol val="none"/>
          </c:marker>
          <c:cat>
            <c:numRef>
              <c:f>guclu!$B$1:$K$1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guclu!$B$3:$K$3</c:f>
              <c:numCache>
                <c:formatCode>General</c:formatCode>
                <c:ptCount val="10"/>
                <c:pt idx="0">
                  <c:v>2.9</c:v>
                </c:pt>
                <c:pt idx="1">
                  <c:v>1.9</c:v>
                </c:pt>
                <c:pt idx="2">
                  <c:v>-0.1</c:v>
                </c:pt>
                <c:pt idx="3">
                  <c:v>-2.5</c:v>
                </c:pt>
                <c:pt idx="4">
                  <c:v>2.6</c:v>
                </c:pt>
                <c:pt idx="5">
                  <c:v>1.6</c:v>
                </c:pt>
                <c:pt idx="6">
                  <c:v>2.2000000000000002</c:v>
                </c:pt>
                <c:pt idx="7">
                  <c:v>1.8</c:v>
                </c:pt>
                <c:pt idx="8">
                  <c:v>2.5</c:v>
                </c:pt>
                <c:pt idx="9">
                  <c:v>2.9</c:v>
                </c:pt>
              </c:numCache>
            </c:numRef>
          </c:val>
          <c:smooth val="0"/>
          <c:extLst xmlns:c16r2="http://schemas.microsoft.com/office/drawing/2015/06/chart">
            <c:ext xmlns:c16="http://schemas.microsoft.com/office/drawing/2014/chart" uri="{C3380CC4-5D6E-409C-BE32-E72D297353CC}">
              <c16:uniqueId val="{00000001-EB78-4717-B0E0-A534C489AE57}"/>
            </c:ext>
          </c:extLst>
        </c:ser>
        <c:ser>
          <c:idx val="2"/>
          <c:order val="2"/>
          <c:tx>
            <c:strRef>
              <c:f>guclu!$A$4</c:f>
              <c:strCache>
                <c:ptCount val="1"/>
                <c:pt idx="0">
                  <c:v>German</c:v>
                </c:pt>
              </c:strCache>
            </c:strRef>
          </c:tx>
          <c:spPr>
            <a:ln w="28575" cap="rnd">
              <a:solidFill>
                <a:schemeClr val="accent3"/>
              </a:solidFill>
              <a:round/>
            </a:ln>
            <a:effectLst/>
          </c:spPr>
          <c:marker>
            <c:symbol val="none"/>
          </c:marker>
          <c:cat>
            <c:numRef>
              <c:f>guclu!$B$1:$K$1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guclu!$B$4:$K$4</c:f>
              <c:numCache>
                <c:formatCode>General</c:formatCode>
                <c:ptCount val="10"/>
                <c:pt idx="0">
                  <c:v>3.9</c:v>
                </c:pt>
                <c:pt idx="1">
                  <c:v>3.4</c:v>
                </c:pt>
                <c:pt idx="2">
                  <c:v>0.8</c:v>
                </c:pt>
                <c:pt idx="3">
                  <c:v>-5.6</c:v>
                </c:pt>
                <c:pt idx="4">
                  <c:v>3.9</c:v>
                </c:pt>
                <c:pt idx="5">
                  <c:v>3.7</c:v>
                </c:pt>
                <c:pt idx="6">
                  <c:v>0.7</c:v>
                </c:pt>
                <c:pt idx="7">
                  <c:v>0.6</c:v>
                </c:pt>
                <c:pt idx="8">
                  <c:v>2.2000000000000002</c:v>
                </c:pt>
                <c:pt idx="9">
                  <c:v>1.5</c:v>
                </c:pt>
              </c:numCache>
            </c:numRef>
          </c:val>
          <c:smooth val="0"/>
          <c:extLst xmlns:c16r2="http://schemas.microsoft.com/office/drawing/2015/06/chart">
            <c:ext xmlns:c16="http://schemas.microsoft.com/office/drawing/2014/chart" uri="{C3380CC4-5D6E-409C-BE32-E72D297353CC}">
              <c16:uniqueId val="{00000002-EB78-4717-B0E0-A534C489AE57}"/>
            </c:ext>
          </c:extLst>
        </c:ser>
        <c:ser>
          <c:idx val="3"/>
          <c:order val="3"/>
          <c:tx>
            <c:strRef>
              <c:f>guclu!$A$5</c:f>
              <c:strCache>
                <c:ptCount val="1"/>
                <c:pt idx="0">
                  <c:v>Italy</c:v>
                </c:pt>
              </c:strCache>
            </c:strRef>
          </c:tx>
          <c:spPr>
            <a:ln w="28575" cap="rnd">
              <a:solidFill>
                <a:schemeClr val="accent4"/>
              </a:solidFill>
              <a:round/>
            </a:ln>
            <a:effectLst/>
          </c:spPr>
          <c:marker>
            <c:symbol val="none"/>
          </c:marker>
          <c:cat>
            <c:numRef>
              <c:f>guclu!$B$1:$K$1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guclu!$B$5:$K$5</c:f>
              <c:numCache>
                <c:formatCode>General</c:formatCode>
                <c:ptCount val="10"/>
                <c:pt idx="0">
                  <c:v>2</c:v>
                </c:pt>
                <c:pt idx="1">
                  <c:v>1.5</c:v>
                </c:pt>
                <c:pt idx="2">
                  <c:v>-1.1000000000000001</c:v>
                </c:pt>
                <c:pt idx="3">
                  <c:v>-5.5</c:v>
                </c:pt>
                <c:pt idx="4">
                  <c:v>1.7</c:v>
                </c:pt>
                <c:pt idx="5">
                  <c:v>0.6</c:v>
                </c:pt>
                <c:pt idx="6">
                  <c:v>-2.8</c:v>
                </c:pt>
                <c:pt idx="7">
                  <c:v>-1.7</c:v>
                </c:pt>
                <c:pt idx="8">
                  <c:v>0.1</c:v>
                </c:pt>
                <c:pt idx="9">
                  <c:v>0.9</c:v>
                </c:pt>
              </c:numCache>
            </c:numRef>
          </c:val>
          <c:smooth val="0"/>
          <c:extLst xmlns:c16r2="http://schemas.microsoft.com/office/drawing/2015/06/chart">
            <c:ext xmlns:c16="http://schemas.microsoft.com/office/drawing/2014/chart" uri="{C3380CC4-5D6E-409C-BE32-E72D297353CC}">
              <c16:uniqueId val="{00000003-EB78-4717-B0E0-A534C489AE57}"/>
            </c:ext>
          </c:extLst>
        </c:ser>
        <c:ser>
          <c:idx val="4"/>
          <c:order val="4"/>
          <c:tx>
            <c:strRef>
              <c:f>guclu!$A$6</c:f>
              <c:strCache>
                <c:ptCount val="1"/>
                <c:pt idx="0">
                  <c:v>France</c:v>
                </c:pt>
              </c:strCache>
            </c:strRef>
          </c:tx>
          <c:spPr>
            <a:ln w="28575" cap="rnd">
              <a:solidFill>
                <a:schemeClr val="accent5"/>
              </a:solidFill>
              <a:round/>
            </a:ln>
            <a:effectLst/>
          </c:spPr>
          <c:marker>
            <c:symbol val="none"/>
          </c:marker>
          <c:cat>
            <c:numRef>
              <c:f>guclu!$B$1:$K$1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guclu!$B$6:$K$6</c:f>
              <c:numCache>
                <c:formatCode>General</c:formatCode>
                <c:ptCount val="10"/>
                <c:pt idx="0">
                  <c:v>2.4</c:v>
                </c:pt>
                <c:pt idx="1">
                  <c:v>2.4</c:v>
                </c:pt>
                <c:pt idx="2">
                  <c:v>0.3</c:v>
                </c:pt>
                <c:pt idx="3">
                  <c:v>-2.9</c:v>
                </c:pt>
                <c:pt idx="4">
                  <c:v>1.9</c:v>
                </c:pt>
                <c:pt idx="5">
                  <c:v>2.2000000000000002</c:v>
                </c:pt>
                <c:pt idx="6">
                  <c:v>0.3</c:v>
                </c:pt>
                <c:pt idx="7">
                  <c:v>0.6</c:v>
                </c:pt>
                <c:pt idx="8">
                  <c:v>1</c:v>
                </c:pt>
                <c:pt idx="9">
                  <c:v>1.1000000000000001</c:v>
                </c:pt>
              </c:numCache>
            </c:numRef>
          </c:val>
          <c:smooth val="0"/>
          <c:extLst xmlns:c16r2="http://schemas.microsoft.com/office/drawing/2015/06/chart">
            <c:ext xmlns:c16="http://schemas.microsoft.com/office/drawing/2014/chart" uri="{C3380CC4-5D6E-409C-BE32-E72D297353CC}">
              <c16:uniqueId val="{00000004-EB78-4717-B0E0-A534C489AE57}"/>
            </c:ext>
          </c:extLst>
        </c:ser>
        <c:ser>
          <c:idx val="5"/>
          <c:order val="5"/>
          <c:tx>
            <c:strRef>
              <c:f>guclu!$A$7</c:f>
              <c:strCache>
                <c:ptCount val="1"/>
                <c:pt idx="0">
                  <c:v>UK</c:v>
                </c:pt>
              </c:strCache>
            </c:strRef>
          </c:tx>
          <c:spPr>
            <a:ln w="28575" cap="rnd">
              <a:solidFill>
                <a:schemeClr val="accent6"/>
              </a:solidFill>
              <a:round/>
            </a:ln>
            <a:effectLst/>
          </c:spPr>
          <c:marker>
            <c:symbol val="none"/>
          </c:marker>
          <c:cat>
            <c:numRef>
              <c:f>guclu!$B$1:$K$1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guclu!$B$7:$K$7</c:f>
              <c:numCache>
                <c:formatCode>General</c:formatCode>
                <c:ptCount val="10"/>
                <c:pt idx="0">
                  <c:v>2.5</c:v>
                </c:pt>
                <c:pt idx="1">
                  <c:v>2.5</c:v>
                </c:pt>
                <c:pt idx="2">
                  <c:v>-0.3</c:v>
                </c:pt>
                <c:pt idx="3">
                  <c:v>-4.2</c:v>
                </c:pt>
                <c:pt idx="4">
                  <c:v>1.7</c:v>
                </c:pt>
                <c:pt idx="5">
                  <c:v>1.6</c:v>
                </c:pt>
                <c:pt idx="6">
                  <c:v>1.4</c:v>
                </c:pt>
                <c:pt idx="7">
                  <c:v>2</c:v>
                </c:pt>
                <c:pt idx="8">
                  <c:v>2.9</c:v>
                </c:pt>
                <c:pt idx="9">
                  <c:v>2.2999999999999998</c:v>
                </c:pt>
              </c:numCache>
            </c:numRef>
          </c:val>
          <c:smooth val="0"/>
          <c:extLst xmlns:c16r2="http://schemas.microsoft.com/office/drawing/2015/06/chart">
            <c:ext xmlns:c16="http://schemas.microsoft.com/office/drawing/2014/chart" uri="{C3380CC4-5D6E-409C-BE32-E72D297353CC}">
              <c16:uniqueId val="{00000005-EB78-4717-B0E0-A534C489AE57}"/>
            </c:ext>
          </c:extLst>
        </c:ser>
        <c:ser>
          <c:idx val="6"/>
          <c:order val="6"/>
          <c:tx>
            <c:strRef>
              <c:f>guclu!$A$8</c:f>
              <c:strCache>
                <c:ptCount val="1"/>
                <c:pt idx="0">
                  <c:v>Japan</c:v>
                </c:pt>
              </c:strCache>
            </c:strRef>
          </c:tx>
          <c:spPr>
            <a:ln w="28575" cap="rnd">
              <a:solidFill>
                <a:schemeClr val="accent1">
                  <a:lumMod val="60000"/>
                </a:schemeClr>
              </a:solidFill>
              <a:round/>
            </a:ln>
            <a:effectLst/>
          </c:spPr>
          <c:marker>
            <c:symbol val="none"/>
          </c:marker>
          <c:cat>
            <c:numRef>
              <c:f>guclu!$B$1:$K$1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guclu!$B$8:$K$8</c:f>
              <c:numCache>
                <c:formatCode>General</c:formatCode>
                <c:ptCount val="10"/>
                <c:pt idx="0">
                  <c:v>1.4</c:v>
                </c:pt>
                <c:pt idx="1">
                  <c:v>1.7</c:v>
                </c:pt>
                <c:pt idx="2">
                  <c:v>-1.1000000000000001</c:v>
                </c:pt>
                <c:pt idx="3">
                  <c:v>-5.4</c:v>
                </c:pt>
                <c:pt idx="4">
                  <c:v>4.2</c:v>
                </c:pt>
                <c:pt idx="5">
                  <c:v>-0.1</c:v>
                </c:pt>
                <c:pt idx="6">
                  <c:v>1.5</c:v>
                </c:pt>
                <c:pt idx="7">
                  <c:v>2</c:v>
                </c:pt>
                <c:pt idx="8">
                  <c:v>0.4</c:v>
                </c:pt>
                <c:pt idx="9">
                  <c:v>1.2</c:v>
                </c:pt>
              </c:numCache>
            </c:numRef>
          </c:val>
          <c:smooth val="0"/>
          <c:extLst xmlns:c16r2="http://schemas.microsoft.com/office/drawing/2015/06/chart">
            <c:ext xmlns:c16="http://schemas.microsoft.com/office/drawing/2014/chart" uri="{C3380CC4-5D6E-409C-BE32-E72D297353CC}">
              <c16:uniqueId val="{00000006-EB78-4717-B0E0-A534C489AE57}"/>
            </c:ext>
          </c:extLst>
        </c:ser>
        <c:ser>
          <c:idx val="7"/>
          <c:order val="7"/>
          <c:tx>
            <c:strRef>
              <c:f>guclu!$A$9</c:f>
              <c:strCache>
                <c:ptCount val="1"/>
                <c:pt idx="0">
                  <c:v>Austria</c:v>
                </c:pt>
              </c:strCache>
            </c:strRef>
          </c:tx>
          <c:spPr>
            <a:ln w="28575" cap="rnd">
              <a:solidFill>
                <a:schemeClr val="accent2">
                  <a:lumMod val="60000"/>
                </a:schemeClr>
              </a:solidFill>
              <a:round/>
            </a:ln>
            <a:effectLst/>
          </c:spPr>
          <c:marker>
            <c:symbol val="none"/>
          </c:marker>
          <c:cat>
            <c:numRef>
              <c:f>guclu!$B$1:$K$1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guclu!$B$9:$K$9</c:f>
              <c:numCache>
                <c:formatCode>General</c:formatCode>
                <c:ptCount val="10"/>
                <c:pt idx="0">
                  <c:v>3.5</c:v>
                </c:pt>
                <c:pt idx="1">
                  <c:v>3.7</c:v>
                </c:pt>
                <c:pt idx="2">
                  <c:v>1.5</c:v>
                </c:pt>
                <c:pt idx="3">
                  <c:v>-3.8</c:v>
                </c:pt>
                <c:pt idx="4">
                  <c:v>1.8</c:v>
                </c:pt>
                <c:pt idx="5">
                  <c:v>2.9</c:v>
                </c:pt>
                <c:pt idx="6">
                  <c:v>0.7</c:v>
                </c:pt>
                <c:pt idx="7">
                  <c:v>0</c:v>
                </c:pt>
                <c:pt idx="8">
                  <c:v>0.7</c:v>
                </c:pt>
                <c:pt idx="9">
                  <c:v>1.1000000000000001</c:v>
                </c:pt>
              </c:numCache>
            </c:numRef>
          </c:val>
          <c:smooth val="0"/>
          <c:extLst xmlns:c16r2="http://schemas.microsoft.com/office/drawing/2015/06/chart">
            <c:ext xmlns:c16="http://schemas.microsoft.com/office/drawing/2014/chart" uri="{C3380CC4-5D6E-409C-BE32-E72D297353CC}">
              <c16:uniqueId val="{00000007-EB78-4717-B0E0-A534C489AE57}"/>
            </c:ext>
          </c:extLst>
        </c:ser>
        <c:ser>
          <c:idx val="8"/>
          <c:order val="8"/>
          <c:tx>
            <c:strRef>
              <c:f>guclu!$A$10</c:f>
              <c:strCache>
                <c:ptCount val="1"/>
                <c:pt idx="0">
                  <c:v>Norway</c:v>
                </c:pt>
              </c:strCache>
            </c:strRef>
          </c:tx>
          <c:spPr>
            <a:ln w="28575" cap="rnd">
              <a:solidFill>
                <a:schemeClr val="accent3">
                  <a:lumMod val="60000"/>
                </a:schemeClr>
              </a:solidFill>
              <a:round/>
            </a:ln>
            <a:effectLst/>
          </c:spPr>
          <c:marker>
            <c:symbol val="none"/>
          </c:marker>
          <c:cat>
            <c:numRef>
              <c:f>guclu!$B$1:$K$1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guclu!$B$10:$K$10</c:f>
              <c:numCache>
                <c:formatCode>General</c:formatCode>
                <c:ptCount val="10"/>
                <c:pt idx="0">
                  <c:v>2.4</c:v>
                </c:pt>
                <c:pt idx="1">
                  <c:v>3</c:v>
                </c:pt>
                <c:pt idx="2">
                  <c:v>0.5</c:v>
                </c:pt>
                <c:pt idx="3">
                  <c:v>-1.7</c:v>
                </c:pt>
                <c:pt idx="4">
                  <c:v>0.7</c:v>
                </c:pt>
                <c:pt idx="5">
                  <c:v>1</c:v>
                </c:pt>
                <c:pt idx="6">
                  <c:v>2.7</c:v>
                </c:pt>
                <c:pt idx="7">
                  <c:v>1</c:v>
                </c:pt>
                <c:pt idx="8">
                  <c:v>2</c:v>
                </c:pt>
                <c:pt idx="9">
                  <c:v>2</c:v>
                </c:pt>
              </c:numCache>
            </c:numRef>
          </c:val>
          <c:smooth val="0"/>
          <c:extLst xmlns:c16r2="http://schemas.microsoft.com/office/drawing/2015/06/chart">
            <c:ext xmlns:c16="http://schemas.microsoft.com/office/drawing/2014/chart" uri="{C3380CC4-5D6E-409C-BE32-E72D297353CC}">
              <c16:uniqueId val="{00000008-EB78-4717-B0E0-A534C489AE57}"/>
            </c:ext>
          </c:extLst>
        </c:ser>
        <c:ser>
          <c:idx val="9"/>
          <c:order val="9"/>
          <c:tx>
            <c:strRef>
              <c:f>guclu!$A$11</c:f>
              <c:strCache>
                <c:ptCount val="1"/>
                <c:pt idx="0">
                  <c:v>Denmark</c:v>
                </c:pt>
              </c:strCache>
            </c:strRef>
          </c:tx>
          <c:spPr>
            <a:ln w="28575" cap="rnd">
              <a:solidFill>
                <a:schemeClr val="accent4">
                  <a:lumMod val="60000"/>
                </a:schemeClr>
              </a:solidFill>
              <a:round/>
            </a:ln>
            <a:effectLst/>
          </c:spPr>
          <c:marker>
            <c:symbol val="none"/>
          </c:marker>
          <c:cat>
            <c:numRef>
              <c:f>guclu!$B$1:$K$1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guclu!$B$11:$K$11</c:f>
              <c:numCache>
                <c:formatCode>General</c:formatCode>
                <c:ptCount val="10"/>
                <c:pt idx="0">
                  <c:v>3.9</c:v>
                </c:pt>
                <c:pt idx="1">
                  <c:v>0.9</c:v>
                </c:pt>
                <c:pt idx="2">
                  <c:v>-0.5</c:v>
                </c:pt>
                <c:pt idx="3">
                  <c:v>-4.9000000000000004</c:v>
                </c:pt>
                <c:pt idx="4">
                  <c:v>1.9</c:v>
                </c:pt>
                <c:pt idx="5">
                  <c:v>1.3</c:v>
                </c:pt>
                <c:pt idx="6">
                  <c:v>0.2</c:v>
                </c:pt>
                <c:pt idx="7">
                  <c:v>0.9</c:v>
                </c:pt>
                <c:pt idx="8">
                  <c:v>1.6</c:v>
                </c:pt>
                <c:pt idx="9">
                  <c:v>2.2999999999999998</c:v>
                </c:pt>
              </c:numCache>
            </c:numRef>
          </c:val>
          <c:smooth val="0"/>
          <c:extLst xmlns:c16r2="http://schemas.microsoft.com/office/drawing/2015/06/chart">
            <c:ext xmlns:c16="http://schemas.microsoft.com/office/drawing/2014/chart" uri="{C3380CC4-5D6E-409C-BE32-E72D297353CC}">
              <c16:uniqueId val="{00000009-EB78-4717-B0E0-A534C489AE57}"/>
            </c:ext>
          </c:extLst>
        </c:ser>
        <c:dLbls>
          <c:showLegendKey val="0"/>
          <c:showVal val="0"/>
          <c:showCatName val="0"/>
          <c:showSerName val="0"/>
          <c:showPercent val="0"/>
          <c:showBubbleSize val="0"/>
        </c:dLbls>
        <c:smooth val="0"/>
        <c:axId val="-1606160864"/>
        <c:axId val="-1606165760"/>
      </c:lineChart>
      <c:catAx>
        <c:axId val="-160616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6165760"/>
        <c:crosses val="autoZero"/>
        <c:auto val="1"/>
        <c:lblAlgn val="ctr"/>
        <c:lblOffset val="100"/>
        <c:noMultiLvlLbl val="0"/>
      </c:catAx>
      <c:valAx>
        <c:axId val="-1606165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6160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orta!$A$2</c:f>
              <c:strCache>
                <c:ptCount val="1"/>
                <c:pt idx="0">
                  <c:v>Slovakia</c:v>
                </c:pt>
              </c:strCache>
            </c:strRef>
          </c:tx>
          <c:spPr>
            <a:ln w="28575" cap="rnd">
              <a:solidFill>
                <a:schemeClr val="accent1"/>
              </a:solidFill>
              <a:round/>
            </a:ln>
            <a:effectLst/>
          </c:spPr>
          <c:marker>
            <c:symbol val="none"/>
          </c:marker>
          <c:cat>
            <c:numRef>
              <c:f>orta!$B$1:$K$1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orta!$B$2:$K$2</c:f>
              <c:numCache>
                <c:formatCode>General</c:formatCode>
                <c:ptCount val="10"/>
                <c:pt idx="0">
                  <c:v>8.5</c:v>
                </c:pt>
                <c:pt idx="1">
                  <c:v>10.8</c:v>
                </c:pt>
                <c:pt idx="2">
                  <c:v>5.6</c:v>
                </c:pt>
                <c:pt idx="3">
                  <c:v>-5.4</c:v>
                </c:pt>
                <c:pt idx="4">
                  <c:v>5</c:v>
                </c:pt>
                <c:pt idx="5">
                  <c:v>2.8</c:v>
                </c:pt>
                <c:pt idx="6">
                  <c:v>1.7</c:v>
                </c:pt>
                <c:pt idx="7">
                  <c:v>1.5</c:v>
                </c:pt>
                <c:pt idx="8">
                  <c:v>2.8</c:v>
                </c:pt>
                <c:pt idx="9">
                  <c:v>4.2</c:v>
                </c:pt>
              </c:numCache>
            </c:numRef>
          </c:val>
          <c:smooth val="0"/>
          <c:extLst xmlns:c16r2="http://schemas.microsoft.com/office/drawing/2015/06/chart">
            <c:ext xmlns:c16="http://schemas.microsoft.com/office/drawing/2014/chart" uri="{C3380CC4-5D6E-409C-BE32-E72D297353CC}">
              <c16:uniqueId val="{00000000-229C-4410-908B-90996BFD901E}"/>
            </c:ext>
          </c:extLst>
        </c:ser>
        <c:ser>
          <c:idx val="1"/>
          <c:order val="1"/>
          <c:tx>
            <c:strRef>
              <c:f>orta!$A$3</c:f>
              <c:strCache>
                <c:ptCount val="1"/>
                <c:pt idx="0">
                  <c:v>Slovenia</c:v>
                </c:pt>
              </c:strCache>
            </c:strRef>
          </c:tx>
          <c:spPr>
            <a:ln w="28575" cap="rnd">
              <a:solidFill>
                <a:schemeClr val="accent2"/>
              </a:solidFill>
              <a:round/>
            </a:ln>
            <a:effectLst/>
          </c:spPr>
          <c:marker>
            <c:symbol val="none"/>
          </c:marker>
          <c:cat>
            <c:numRef>
              <c:f>orta!$B$1:$K$1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orta!$B$3:$K$3</c:f>
              <c:numCache>
                <c:formatCode>General</c:formatCode>
                <c:ptCount val="10"/>
                <c:pt idx="0">
                  <c:v>5.7</c:v>
                </c:pt>
                <c:pt idx="1">
                  <c:v>6.9</c:v>
                </c:pt>
                <c:pt idx="2">
                  <c:v>3.3</c:v>
                </c:pt>
                <c:pt idx="3">
                  <c:v>-7.8</c:v>
                </c:pt>
                <c:pt idx="4">
                  <c:v>1.2</c:v>
                </c:pt>
                <c:pt idx="5">
                  <c:v>0.6</c:v>
                </c:pt>
                <c:pt idx="6">
                  <c:v>-2.7</c:v>
                </c:pt>
                <c:pt idx="7">
                  <c:v>-1.1000000000000001</c:v>
                </c:pt>
                <c:pt idx="8">
                  <c:v>3</c:v>
                </c:pt>
                <c:pt idx="9">
                  <c:v>2.2999999999999998</c:v>
                </c:pt>
              </c:numCache>
            </c:numRef>
          </c:val>
          <c:smooth val="0"/>
          <c:extLst xmlns:c16r2="http://schemas.microsoft.com/office/drawing/2015/06/chart">
            <c:ext xmlns:c16="http://schemas.microsoft.com/office/drawing/2014/chart" uri="{C3380CC4-5D6E-409C-BE32-E72D297353CC}">
              <c16:uniqueId val="{00000001-229C-4410-908B-90996BFD901E}"/>
            </c:ext>
          </c:extLst>
        </c:ser>
        <c:ser>
          <c:idx val="2"/>
          <c:order val="2"/>
          <c:tx>
            <c:strRef>
              <c:f>orta!$A$4</c:f>
              <c:strCache>
                <c:ptCount val="1"/>
                <c:pt idx="0">
                  <c:v>Czech</c:v>
                </c:pt>
              </c:strCache>
            </c:strRef>
          </c:tx>
          <c:spPr>
            <a:ln w="28575" cap="rnd">
              <a:solidFill>
                <a:schemeClr val="accent3"/>
              </a:solidFill>
              <a:round/>
            </a:ln>
            <a:effectLst/>
          </c:spPr>
          <c:marker>
            <c:symbol val="none"/>
          </c:marker>
          <c:cat>
            <c:numRef>
              <c:f>orta!$B$1:$K$1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orta!$B$4:$K$4</c:f>
              <c:numCache>
                <c:formatCode>General</c:formatCode>
                <c:ptCount val="10"/>
                <c:pt idx="0">
                  <c:v>6.9</c:v>
                </c:pt>
                <c:pt idx="1">
                  <c:v>5.6</c:v>
                </c:pt>
                <c:pt idx="2">
                  <c:v>2.7</c:v>
                </c:pt>
                <c:pt idx="3">
                  <c:v>-4.8</c:v>
                </c:pt>
                <c:pt idx="4">
                  <c:v>2.2999999999999998</c:v>
                </c:pt>
                <c:pt idx="5">
                  <c:v>1.8</c:v>
                </c:pt>
                <c:pt idx="6">
                  <c:v>-0.8</c:v>
                </c:pt>
                <c:pt idx="7">
                  <c:v>-0.5</c:v>
                </c:pt>
                <c:pt idx="8">
                  <c:v>2.7</c:v>
                </c:pt>
                <c:pt idx="9">
                  <c:v>5.3</c:v>
                </c:pt>
              </c:numCache>
            </c:numRef>
          </c:val>
          <c:smooth val="0"/>
          <c:extLst xmlns:c16r2="http://schemas.microsoft.com/office/drawing/2015/06/chart">
            <c:ext xmlns:c16="http://schemas.microsoft.com/office/drawing/2014/chart" uri="{C3380CC4-5D6E-409C-BE32-E72D297353CC}">
              <c16:uniqueId val="{00000002-229C-4410-908B-90996BFD901E}"/>
            </c:ext>
          </c:extLst>
        </c:ser>
        <c:ser>
          <c:idx val="3"/>
          <c:order val="3"/>
          <c:tx>
            <c:strRef>
              <c:f>orta!$A$5</c:f>
              <c:strCache>
                <c:ptCount val="1"/>
                <c:pt idx="0">
                  <c:v>Lithuania</c:v>
                </c:pt>
              </c:strCache>
            </c:strRef>
          </c:tx>
          <c:spPr>
            <a:ln w="28575" cap="rnd">
              <a:solidFill>
                <a:schemeClr val="accent4"/>
              </a:solidFill>
              <a:round/>
            </a:ln>
            <a:effectLst/>
          </c:spPr>
          <c:marker>
            <c:symbol val="none"/>
          </c:marker>
          <c:cat>
            <c:numRef>
              <c:f>orta!$B$1:$K$1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orta!$B$5:$K$5</c:f>
              <c:numCache>
                <c:formatCode>General</c:formatCode>
                <c:ptCount val="10"/>
                <c:pt idx="0">
                  <c:v>7.4</c:v>
                </c:pt>
                <c:pt idx="1">
                  <c:v>11.1</c:v>
                </c:pt>
                <c:pt idx="2">
                  <c:v>2.6</c:v>
                </c:pt>
                <c:pt idx="3">
                  <c:v>-14.8</c:v>
                </c:pt>
                <c:pt idx="4">
                  <c:v>1.6</c:v>
                </c:pt>
                <c:pt idx="5">
                  <c:v>6</c:v>
                </c:pt>
                <c:pt idx="6">
                  <c:v>3.8</c:v>
                </c:pt>
                <c:pt idx="7">
                  <c:v>3.5</c:v>
                </c:pt>
                <c:pt idx="8">
                  <c:v>3.5</c:v>
                </c:pt>
                <c:pt idx="9">
                  <c:v>2</c:v>
                </c:pt>
              </c:numCache>
            </c:numRef>
          </c:val>
          <c:smooth val="0"/>
          <c:extLst xmlns:c16r2="http://schemas.microsoft.com/office/drawing/2015/06/chart">
            <c:ext xmlns:c16="http://schemas.microsoft.com/office/drawing/2014/chart" uri="{C3380CC4-5D6E-409C-BE32-E72D297353CC}">
              <c16:uniqueId val="{00000003-229C-4410-908B-90996BFD901E}"/>
            </c:ext>
          </c:extLst>
        </c:ser>
        <c:ser>
          <c:idx val="4"/>
          <c:order val="4"/>
          <c:tx>
            <c:strRef>
              <c:f>orta!$A$6</c:f>
              <c:strCache>
                <c:ptCount val="1"/>
                <c:pt idx="0">
                  <c:v>estonia</c:v>
                </c:pt>
              </c:strCache>
            </c:strRef>
          </c:tx>
          <c:spPr>
            <a:ln w="28575" cap="rnd">
              <a:solidFill>
                <a:schemeClr val="accent5"/>
              </a:solidFill>
              <a:round/>
            </a:ln>
            <a:effectLst/>
          </c:spPr>
          <c:marker>
            <c:symbol val="none"/>
          </c:marker>
          <c:cat>
            <c:numRef>
              <c:f>orta!$B$1:$K$1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orta!$B$6:$K$6</c:f>
              <c:numCache>
                <c:formatCode>General</c:formatCode>
                <c:ptCount val="10"/>
                <c:pt idx="0">
                  <c:v>10.3</c:v>
                </c:pt>
                <c:pt idx="1">
                  <c:v>7.7</c:v>
                </c:pt>
                <c:pt idx="2">
                  <c:v>-5.4</c:v>
                </c:pt>
                <c:pt idx="3">
                  <c:v>-14.7</c:v>
                </c:pt>
                <c:pt idx="4">
                  <c:v>2.2999999999999998</c:v>
                </c:pt>
                <c:pt idx="5">
                  <c:v>7.6</c:v>
                </c:pt>
                <c:pt idx="6">
                  <c:v>4.3</c:v>
                </c:pt>
                <c:pt idx="7">
                  <c:v>1.9</c:v>
                </c:pt>
                <c:pt idx="8">
                  <c:v>2.9</c:v>
                </c:pt>
                <c:pt idx="9">
                  <c:v>1.9</c:v>
                </c:pt>
              </c:numCache>
            </c:numRef>
          </c:val>
          <c:smooth val="0"/>
          <c:extLst xmlns:c16r2="http://schemas.microsoft.com/office/drawing/2015/06/chart">
            <c:ext xmlns:c16="http://schemas.microsoft.com/office/drawing/2014/chart" uri="{C3380CC4-5D6E-409C-BE32-E72D297353CC}">
              <c16:uniqueId val="{00000004-229C-4410-908B-90996BFD901E}"/>
            </c:ext>
          </c:extLst>
        </c:ser>
        <c:ser>
          <c:idx val="5"/>
          <c:order val="5"/>
          <c:tx>
            <c:strRef>
              <c:f>orta!$A$7</c:f>
              <c:strCache>
                <c:ptCount val="1"/>
                <c:pt idx="0">
                  <c:v>latvia</c:v>
                </c:pt>
              </c:strCache>
            </c:strRef>
          </c:tx>
          <c:spPr>
            <a:ln w="28575" cap="rnd">
              <a:solidFill>
                <a:schemeClr val="accent6"/>
              </a:solidFill>
              <a:round/>
            </a:ln>
            <a:effectLst/>
          </c:spPr>
          <c:marker>
            <c:symbol val="none"/>
          </c:marker>
          <c:cat>
            <c:numRef>
              <c:f>orta!$B$1:$K$1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orta!$B$7:$K$7</c:f>
              <c:numCache>
                <c:formatCode>General</c:formatCode>
                <c:ptCount val="10"/>
                <c:pt idx="0">
                  <c:v>11.9</c:v>
                </c:pt>
                <c:pt idx="1">
                  <c:v>10</c:v>
                </c:pt>
                <c:pt idx="2">
                  <c:v>-3.5</c:v>
                </c:pt>
                <c:pt idx="3">
                  <c:v>-14.4</c:v>
                </c:pt>
                <c:pt idx="4">
                  <c:v>-3.9</c:v>
                </c:pt>
                <c:pt idx="5">
                  <c:v>6.4</c:v>
                </c:pt>
                <c:pt idx="6">
                  <c:v>4</c:v>
                </c:pt>
                <c:pt idx="7">
                  <c:v>2.4</c:v>
                </c:pt>
                <c:pt idx="8">
                  <c:v>1.9</c:v>
                </c:pt>
                <c:pt idx="9">
                  <c:v>3</c:v>
                </c:pt>
              </c:numCache>
            </c:numRef>
          </c:val>
          <c:smooth val="0"/>
          <c:extLst xmlns:c16r2="http://schemas.microsoft.com/office/drawing/2015/06/chart">
            <c:ext xmlns:c16="http://schemas.microsoft.com/office/drawing/2014/chart" uri="{C3380CC4-5D6E-409C-BE32-E72D297353CC}">
              <c16:uniqueId val="{00000005-229C-4410-908B-90996BFD901E}"/>
            </c:ext>
          </c:extLst>
        </c:ser>
        <c:ser>
          <c:idx val="6"/>
          <c:order val="6"/>
          <c:tx>
            <c:strRef>
              <c:f>orta!$A$8</c:f>
              <c:strCache>
                <c:ptCount val="1"/>
                <c:pt idx="0">
                  <c:v>greece</c:v>
                </c:pt>
              </c:strCache>
            </c:strRef>
          </c:tx>
          <c:spPr>
            <a:ln w="28575" cap="rnd">
              <a:solidFill>
                <a:schemeClr val="accent1">
                  <a:lumMod val="60000"/>
                </a:schemeClr>
              </a:solidFill>
              <a:round/>
            </a:ln>
            <a:effectLst/>
          </c:spPr>
          <c:marker>
            <c:symbol val="none"/>
          </c:marker>
          <c:cat>
            <c:numRef>
              <c:f>orta!$B$1:$K$1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orta!$B$8:$K$8</c:f>
              <c:numCache>
                <c:formatCode>General</c:formatCode>
                <c:ptCount val="10"/>
                <c:pt idx="0">
                  <c:v>5.7</c:v>
                </c:pt>
                <c:pt idx="1">
                  <c:v>3.3</c:v>
                </c:pt>
                <c:pt idx="2">
                  <c:v>-0.3</c:v>
                </c:pt>
                <c:pt idx="3">
                  <c:v>-4.3</c:v>
                </c:pt>
                <c:pt idx="4">
                  <c:v>-5.5</c:v>
                </c:pt>
                <c:pt idx="5">
                  <c:v>-9.1</c:v>
                </c:pt>
                <c:pt idx="6">
                  <c:v>-7.3</c:v>
                </c:pt>
                <c:pt idx="7">
                  <c:v>-3.2</c:v>
                </c:pt>
                <c:pt idx="8">
                  <c:v>0.7</c:v>
                </c:pt>
                <c:pt idx="9">
                  <c:v>-0.4</c:v>
                </c:pt>
              </c:numCache>
            </c:numRef>
          </c:val>
          <c:smooth val="0"/>
          <c:extLst xmlns:c16r2="http://schemas.microsoft.com/office/drawing/2015/06/chart">
            <c:ext xmlns:c16="http://schemas.microsoft.com/office/drawing/2014/chart" uri="{C3380CC4-5D6E-409C-BE32-E72D297353CC}">
              <c16:uniqueId val="{00000006-229C-4410-908B-90996BFD901E}"/>
            </c:ext>
          </c:extLst>
        </c:ser>
        <c:ser>
          <c:idx val="7"/>
          <c:order val="7"/>
          <c:tx>
            <c:strRef>
              <c:f>orta!$A$9</c:f>
              <c:strCache>
                <c:ptCount val="1"/>
                <c:pt idx="0">
                  <c:v>poland</c:v>
                </c:pt>
              </c:strCache>
            </c:strRef>
          </c:tx>
          <c:spPr>
            <a:ln w="28575" cap="rnd">
              <a:solidFill>
                <a:schemeClr val="accent2">
                  <a:lumMod val="60000"/>
                </a:schemeClr>
              </a:solidFill>
              <a:round/>
            </a:ln>
            <a:effectLst/>
          </c:spPr>
          <c:marker>
            <c:symbol val="none"/>
          </c:marker>
          <c:cat>
            <c:numRef>
              <c:f>orta!$B$1:$K$1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orta!$B$9:$K$9</c:f>
              <c:numCache>
                <c:formatCode>General</c:formatCode>
                <c:ptCount val="10"/>
                <c:pt idx="0">
                  <c:v>6.2</c:v>
                </c:pt>
                <c:pt idx="1">
                  <c:v>7</c:v>
                </c:pt>
                <c:pt idx="2">
                  <c:v>4.2</c:v>
                </c:pt>
                <c:pt idx="3">
                  <c:v>2.8</c:v>
                </c:pt>
                <c:pt idx="4">
                  <c:v>3.6</c:v>
                </c:pt>
                <c:pt idx="5">
                  <c:v>5</c:v>
                </c:pt>
                <c:pt idx="6">
                  <c:v>1.6</c:v>
                </c:pt>
                <c:pt idx="7">
                  <c:v>1.4</c:v>
                </c:pt>
                <c:pt idx="8">
                  <c:v>3.3</c:v>
                </c:pt>
                <c:pt idx="9">
                  <c:v>3.8</c:v>
                </c:pt>
              </c:numCache>
            </c:numRef>
          </c:val>
          <c:smooth val="0"/>
          <c:extLst xmlns:c16r2="http://schemas.microsoft.com/office/drawing/2015/06/chart">
            <c:ext xmlns:c16="http://schemas.microsoft.com/office/drawing/2014/chart" uri="{C3380CC4-5D6E-409C-BE32-E72D297353CC}">
              <c16:uniqueId val="{00000007-229C-4410-908B-90996BFD901E}"/>
            </c:ext>
          </c:extLst>
        </c:ser>
        <c:ser>
          <c:idx val="8"/>
          <c:order val="8"/>
          <c:tx>
            <c:strRef>
              <c:f>orta!$A$10</c:f>
              <c:strCache>
                <c:ptCount val="1"/>
                <c:pt idx="0">
                  <c:v>cyprus</c:v>
                </c:pt>
              </c:strCache>
            </c:strRef>
          </c:tx>
          <c:spPr>
            <a:ln w="28575" cap="rnd">
              <a:solidFill>
                <a:schemeClr val="accent3">
                  <a:lumMod val="60000"/>
                </a:schemeClr>
              </a:solidFill>
              <a:round/>
            </a:ln>
            <a:effectLst/>
          </c:spPr>
          <c:marker>
            <c:symbol val="none"/>
          </c:marker>
          <c:cat>
            <c:numRef>
              <c:f>orta!$B$1:$K$1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orta!$B$10:$K$10</c:f>
              <c:numCache>
                <c:formatCode>General</c:formatCode>
                <c:ptCount val="10"/>
                <c:pt idx="0">
                  <c:v>4.7</c:v>
                </c:pt>
                <c:pt idx="1">
                  <c:v>5.0999999999999996</c:v>
                </c:pt>
                <c:pt idx="2">
                  <c:v>3.6</c:v>
                </c:pt>
                <c:pt idx="3">
                  <c:v>-2</c:v>
                </c:pt>
                <c:pt idx="4">
                  <c:v>1.3</c:v>
                </c:pt>
                <c:pt idx="5">
                  <c:v>0.4</c:v>
                </c:pt>
                <c:pt idx="6">
                  <c:v>-2.9</c:v>
                </c:pt>
                <c:pt idx="7">
                  <c:v>-5.8</c:v>
                </c:pt>
                <c:pt idx="8">
                  <c:v>-1.3</c:v>
                </c:pt>
                <c:pt idx="9">
                  <c:v>2</c:v>
                </c:pt>
              </c:numCache>
            </c:numRef>
          </c:val>
          <c:smooth val="0"/>
          <c:extLst xmlns:c16r2="http://schemas.microsoft.com/office/drawing/2015/06/chart">
            <c:ext xmlns:c16="http://schemas.microsoft.com/office/drawing/2014/chart" uri="{C3380CC4-5D6E-409C-BE32-E72D297353CC}">
              <c16:uniqueId val="{00000008-229C-4410-908B-90996BFD901E}"/>
            </c:ext>
          </c:extLst>
        </c:ser>
        <c:ser>
          <c:idx val="9"/>
          <c:order val="9"/>
          <c:tx>
            <c:strRef>
              <c:f>orta!$A$11</c:f>
              <c:strCache>
                <c:ptCount val="1"/>
                <c:pt idx="0">
                  <c:v>hungary</c:v>
                </c:pt>
              </c:strCache>
            </c:strRef>
          </c:tx>
          <c:spPr>
            <a:ln w="28575" cap="rnd">
              <a:solidFill>
                <a:schemeClr val="accent4">
                  <a:lumMod val="60000"/>
                </a:schemeClr>
              </a:solidFill>
              <a:round/>
            </a:ln>
            <a:effectLst/>
          </c:spPr>
          <c:marker>
            <c:symbol val="none"/>
          </c:marker>
          <c:cat>
            <c:numRef>
              <c:f>orta!$B$1:$K$1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orta!$B$11:$K$11</c:f>
              <c:numCache>
                <c:formatCode>General</c:formatCode>
                <c:ptCount val="10"/>
                <c:pt idx="0">
                  <c:v>3.9</c:v>
                </c:pt>
                <c:pt idx="1">
                  <c:v>0.4</c:v>
                </c:pt>
                <c:pt idx="2">
                  <c:v>0.9</c:v>
                </c:pt>
                <c:pt idx="3">
                  <c:v>-6.6</c:v>
                </c:pt>
                <c:pt idx="4">
                  <c:v>0.7</c:v>
                </c:pt>
                <c:pt idx="5">
                  <c:v>1.7</c:v>
                </c:pt>
                <c:pt idx="6">
                  <c:v>-1.6</c:v>
                </c:pt>
                <c:pt idx="7">
                  <c:v>2.1</c:v>
                </c:pt>
                <c:pt idx="8">
                  <c:v>4.2</c:v>
                </c:pt>
                <c:pt idx="9">
                  <c:v>3.5</c:v>
                </c:pt>
              </c:numCache>
            </c:numRef>
          </c:val>
          <c:smooth val="0"/>
          <c:extLst xmlns:c16r2="http://schemas.microsoft.com/office/drawing/2015/06/chart">
            <c:ext xmlns:c16="http://schemas.microsoft.com/office/drawing/2014/chart" uri="{C3380CC4-5D6E-409C-BE32-E72D297353CC}">
              <c16:uniqueId val="{00000009-229C-4410-908B-90996BFD901E}"/>
            </c:ext>
          </c:extLst>
        </c:ser>
        <c:dLbls>
          <c:showLegendKey val="0"/>
          <c:showVal val="0"/>
          <c:showCatName val="0"/>
          <c:showSerName val="0"/>
          <c:showPercent val="0"/>
          <c:showBubbleSize val="0"/>
        </c:dLbls>
        <c:smooth val="0"/>
        <c:axId val="-1606139648"/>
        <c:axId val="-1606164128"/>
      </c:lineChart>
      <c:catAx>
        <c:axId val="-160613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6164128"/>
        <c:crosses val="autoZero"/>
        <c:auto val="1"/>
        <c:lblAlgn val="ctr"/>
        <c:lblOffset val="100"/>
        <c:noMultiLvlLbl val="0"/>
      </c:catAx>
      <c:valAx>
        <c:axId val="-1606164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613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zeif!$A$2</c:f>
              <c:strCache>
                <c:ptCount val="1"/>
                <c:pt idx="0">
                  <c:v>suriname</c:v>
                </c:pt>
              </c:strCache>
            </c:strRef>
          </c:tx>
          <c:spPr>
            <a:ln w="28575" cap="rnd">
              <a:solidFill>
                <a:schemeClr val="accent1"/>
              </a:solidFill>
              <a:round/>
            </a:ln>
            <a:effectLst/>
          </c:spPr>
          <c:marker>
            <c:symbol val="none"/>
          </c:marker>
          <c:cat>
            <c:numRef>
              <c:f>zeif!$B$1:$K$1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zeif!$B$2:$K$2</c:f>
              <c:numCache>
                <c:formatCode>General</c:formatCode>
                <c:ptCount val="10"/>
                <c:pt idx="0">
                  <c:v>5.8</c:v>
                </c:pt>
                <c:pt idx="1">
                  <c:v>5.0999999999999996</c:v>
                </c:pt>
                <c:pt idx="2">
                  <c:v>4.0999999999999996</c:v>
                </c:pt>
                <c:pt idx="3">
                  <c:v>3</c:v>
                </c:pt>
                <c:pt idx="4">
                  <c:v>5.2</c:v>
                </c:pt>
                <c:pt idx="5">
                  <c:v>5.8</c:v>
                </c:pt>
                <c:pt idx="6">
                  <c:v>2.7</c:v>
                </c:pt>
                <c:pt idx="7">
                  <c:v>2.9</c:v>
                </c:pt>
                <c:pt idx="8">
                  <c:v>0.3</c:v>
                </c:pt>
                <c:pt idx="9">
                  <c:v>-3.4</c:v>
                </c:pt>
              </c:numCache>
            </c:numRef>
          </c:val>
          <c:smooth val="0"/>
          <c:extLst xmlns:c16r2="http://schemas.microsoft.com/office/drawing/2015/06/chart">
            <c:ext xmlns:c16="http://schemas.microsoft.com/office/drawing/2014/chart" uri="{C3380CC4-5D6E-409C-BE32-E72D297353CC}">
              <c16:uniqueId val="{00000000-CB1E-4503-9157-93B371733204}"/>
            </c:ext>
          </c:extLst>
        </c:ser>
        <c:ser>
          <c:idx val="1"/>
          <c:order val="1"/>
          <c:tx>
            <c:strRef>
              <c:f>zeif!$A$3</c:f>
              <c:strCache>
                <c:ptCount val="1"/>
                <c:pt idx="0">
                  <c:v>Venezuela</c:v>
                </c:pt>
              </c:strCache>
            </c:strRef>
          </c:tx>
          <c:spPr>
            <a:ln w="28575" cap="rnd">
              <a:solidFill>
                <a:schemeClr val="accent2"/>
              </a:solidFill>
              <a:round/>
            </a:ln>
            <a:effectLst/>
          </c:spPr>
          <c:marker>
            <c:symbol val="none"/>
          </c:marker>
          <c:cat>
            <c:numRef>
              <c:f>zeif!$B$1:$K$1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zeif!$B$3:$K$3</c:f>
              <c:numCache>
                <c:formatCode>General</c:formatCode>
                <c:ptCount val="10"/>
                <c:pt idx="0">
                  <c:v>9.9</c:v>
                </c:pt>
                <c:pt idx="1">
                  <c:v>8.8000000000000007</c:v>
                </c:pt>
                <c:pt idx="2">
                  <c:v>5.3</c:v>
                </c:pt>
                <c:pt idx="3">
                  <c:v>-3.2</c:v>
                </c:pt>
                <c:pt idx="4">
                  <c:v>-1.5</c:v>
                </c:pt>
                <c:pt idx="5">
                  <c:v>4.2</c:v>
                </c:pt>
                <c:pt idx="6">
                  <c:v>5.6</c:v>
                </c:pt>
                <c:pt idx="7">
                  <c:v>1.3</c:v>
                </c:pt>
                <c:pt idx="8">
                  <c:v>-3.9</c:v>
                </c:pt>
                <c:pt idx="9">
                  <c:v>-6.2</c:v>
                </c:pt>
              </c:numCache>
            </c:numRef>
          </c:val>
          <c:smooth val="0"/>
          <c:extLst xmlns:c16r2="http://schemas.microsoft.com/office/drawing/2015/06/chart">
            <c:ext xmlns:c16="http://schemas.microsoft.com/office/drawing/2014/chart" uri="{C3380CC4-5D6E-409C-BE32-E72D297353CC}">
              <c16:uniqueId val="{00000001-CB1E-4503-9157-93B371733204}"/>
            </c:ext>
          </c:extLst>
        </c:ser>
        <c:ser>
          <c:idx val="2"/>
          <c:order val="2"/>
          <c:tx>
            <c:strRef>
              <c:f>zeif!$A$4</c:f>
              <c:strCache>
                <c:ptCount val="1"/>
                <c:pt idx="0">
                  <c:v>Sudan</c:v>
                </c:pt>
              </c:strCache>
            </c:strRef>
          </c:tx>
          <c:spPr>
            <a:ln w="28575" cap="rnd">
              <a:solidFill>
                <a:schemeClr val="accent3"/>
              </a:solidFill>
              <a:round/>
            </a:ln>
            <a:effectLst/>
          </c:spPr>
          <c:marker>
            <c:symbol val="none"/>
          </c:marker>
          <c:cat>
            <c:numRef>
              <c:f>zeif!$B$1:$K$1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zeif!$B$4:$K$4</c:f>
              <c:numCache>
                <c:formatCode>General</c:formatCode>
                <c:ptCount val="10"/>
                <c:pt idx="0">
                  <c:v>6.5</c:v>
                </c:pt>
                <c:pt idx="1">
                  <c:v>5.7</c:v>
                </c:pt>
                <c:pt idx="2">
                  <c:v>3.8</c:v>
                </c:pt>
                <c:pt idx="3">
                  <c:v>-2.8</c:v>
                </c:pt>
                <c:pt idx="4">
                  <c:v>3.9</c:v>
                </c:pt>
                <c:pt idx="5">
                  <c:v>-2.8</c:v>
                </c:pt>
                <c:pt idx="6">
                  <c:v>-17</c:v>
                </c:pt>
                <c:pt idx="7">
                  <c:v>2</c:v>
                </c:pt>
                <c:pt idx="8">
                  <c:v>4.7</c:v>
                </c:pt>
                <c:pt idx="9">
                  <c:v>1.9</c:v>
                </c:pt>
              </c:numCache>
            </c:numRef>
          </c:val>
          <c:smooth val="0"/>
          <c:extLst xmlns:c16r2="http://schemas.microsoft.com/office/drawing/2015/06/chart">
            <c:ext xmlns:c16="http://schemas.microsoft.com/office/drawing/2014/chart" uri="{C3380CC4-5D6E-409C-BE32-E72D297353CC}">
              <c16:uniqueId val="{00000002-CB1E-4503-9157-93B371733204}"/>
            </c:ext>
          </c:extLst>
        </c:ser>
        <c:ser>
          <c:idx val="3"/>
          <c:order val="3"/>
          <c:tx>
            <c:strRef>
              <c:f>zeif!$A$5</c:f>
              <c:strCache>
                <c:ptCount val="1"/>
                <c:pt idx="0">
                  <c:v>Iraq</c:v>
                </c:pt>
              </c:strCache>
            </c:strRef>
          </c:tx>
          <c:spPr>
            <a:ln w="28575" cap="rnd">
              <a:solidFill>
                <a:schemeClr val="accent4"/>
              </a:solidFill>
              <a:round/>
            </a:ln>
            <a:effectLst/>
          </c:spPr>
          <c:marker>
            <c:symbol val="none"/>
          </c:marker>
          <c:cat>
            <c:numRef>
              <c:f>zeif!$B$1:$K$1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zeif!$B$5:$K$5</c:f>
              <c:numCache>
                <c:formatCode>General</c:formatCode>
                <c:ptCount val="10"/>
                <c:pt idx="0">
                  <c:v>5.6</c:v>
                </c:pt>
                <c:pt idx="1">
                  <c:v>1.9</c:v>
                </c:pt>
                <c:pt idx="2">
                  <c:v>8.1999999999999993</c:v>
                </c:pt>
                <c:pt idx="3">
                  <c:v>3.4</c:v>
                </c:pt>
                <c:pt idx="4">
                  <c:v>6.4</c:v>
                </c:pt>
                <c:pt idx="5">
                  <c:v>7.5</c:v>
                </c:pt>
                <c:pt idx="6">
                  <c:v>13.9</c:v>
                </c:pt>
                <c:pt idx="7">
                  <c:v>7.6</c:v>
                </c:pt>
                <c:pt idx="8">
                  <c:v>0.7</c:v>
                </c:pt>
                <c:pt idx="9">
                  <c:v>2.5</c:v>
                </c:pt>
              </c:numCache>
            </c:numRef>
          </c:val>
          <c:smooth val="0"/>
          <c:extLst xmlns:c16r2="http://schemas.microsoft.com/office/drawing/2015/06/chart">
            <c:ext xmlns:c16="http://schemas.microsoft.com/office/drawing/2014/chart" uri="{C3380CC4-5D6E-409C-BE32-E72D297353CC}">
              <c16:uniqueId val="{00000003-CB1E-4503-9157-93B371733204}"/>
            </c:ext>
          </c:extLst>
        </c:ser>
        <c:ser>
          <c:idx val="4"/>
          <c:order val="4"/>
          <c:tx>
            <c:strRef>
              <c:f>zeif!$A$6</c:f>
              <c:strCache>
                <c:ptCount val="1"/>
                <c:pt idx="0">
                  <c:v>Yemen</c:v>
                </c:pt>
              </c:strCache>
            </c:strRef>
          </c:tx>
          <c:spPr>
            <a:ln w="28575" cap="rnd">
              <a:solidFill>
                <a:schemeClr val="accent5"/>
              </a:solidFill>
              <a:round/>
            </a:ln>
            <a:effectLst/>
          </c:spPr>
          <c:marker>
            <c:symbol val="none"/>
          </c:marker>
          <c:cat>
            <c:numRef>
              <c:f>zeif!$B$1:$K$1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zeif!$B$6:$K$6</c:f>
              <c:numCache>
                <c:formatCode>General</c:formatCode>
                <c:ptCount val="10"/>
                <c:pt idx="0">
                  <c:v>3.2</c:v>
                </c:pt>
                <c:pt idx="1">
                  <c:v>3.3</c:v>
                </c:pt>
                <c:pt idx="2">
                  <c:v>3.6</c:v>
                </c:pt>
                <c:pt idx="3">
                  <c:v>3.9</c:v>
                </c:pt>
                <c:pt idx="4">
                  <c:v>7.7</c:v>
                </c:pt>
                <c:pt idx="5">
                  <c:v>-12.7</c:v>
                </c:pt>
                <c:pt idx="6">
                  <c:v>2.4</c:v>
                </c:pt>
                <c:pt idx="7">
                  <c:v>4.8</c:v>
                </c:pt>
                <c:pt idx="8">
                  <c:v>-0.2</c:v>
                </c:pt>
                <c:pt idx="9">
                  <c:v>-16.7</c:v>
                </c:pt>
              </c:numCache>
            </c:numRef>
          </c:val>
          <c:smooth val="0"/>
          <c:extLst xmlns:c16r2="http://schemas.microsoft.com/office/drawing/2015/06/chart">
            <c:ext xmlns:c16="http://schemas.microsoft.com/office/drawing/2014/chart" uri="{C3380CC4-5D6E-409C-BE32-E72D297353CC}">
              <c16:uniqueId val="{00000004-CB1E-4503-9157-93B371733204}"/>
            </c:ext>
          </c:extLst>
        </c:ser>
        <c:ser>
          <c:idx val="5"/>
          <c:order val="5"/>
          <c:tx>
            <c:strRef>
              <c:f>zeif!$A$7</c:f>
              <c:strCache>
                <c:ptCount val="1"/>
                <c:pt idx="0">
                  <c:v>libya</c:v>
                </c:pt>
              </c:strCache>
            </c:strRef>
          </c:tx>
          <c:spPr>
            <a:ln w="28575" cap="rnd">
              <a:solidFill>
                <a:schemeClr val="accent6"/>
              </a:solidFill>
              <a:round/>
            </a:ln>
            <a:effectLst/>
          </c:spPr>
          <c:marker>
            <c:symbol val="none"/>
          </c:marker>
          <c:cat>
            <c:numRef>
              <c:f>zeif!$B$1:$K$1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zeif!$B$7:$K$7</c:f>
              <c:numCache>
                <c:formatCode>General</c:formatCode>
                <c:ptCount val="10"/>
                <c:pt idx="0">
                  <c:v>6.5</c:v>
                </c:pt>
                <c:pt idx="1">
                  <c:v>6.4</c:v>
                </c:pt>
                <c:pt idx="2">
                  <c:v>2.7</c:v>
                </c:pt>
                <c:pt idx="3">
                  <c:v>-3</c:v>
                </c:pt>
                <c:pt idx="4">
                  <c:v>3.2</c:v>
                </c:pt>
                <c:pt idx="5">
                  <c:v>-66.7</c:v>
                </c:pt>
                <c:pt idx="6">
                  <c:v>124.7</c:v>
                </c:pt>
                <c:pt idx="7">
                  <c:v>-36.799999999999997</c:v>
                </c:pt>
                <c:pt idx="8">
                  <c:v>-53</c:v>
                </c:pt>
                <c:pt idx="9">
                  <c:v>-13</c:v>
                </c:pt>
              </c:numCache>
            </c:numRef>
          </c:val>
          <c:smooth val="0"/>
          <c:extLst xmlns:c16r2="http://schemas.microsoft.com/office/drawing/2015/06/chart">
            <c:ext xmlns:c16="http://schemas.microsoft.com/office/drawing/2014/chart" uri="{C3380CC4-5D6E-409C-BE32-E72D297353CC}">
              <c16:uniqueId val="{00000005-CB1E-4503-9157-93B371733204}"/>
            </c:ext>
          </c:extLst>
        </c:ser>
        <c:ser>
          <c:idx val="6"/>
          <c:order val="6"/>
          <c:tx>
            <c:strRef>
              <c:f>zeif!$A$8</c:f>
              <c:strCache>
                <c:ptCount val="1"/>
                <c:pt idx="0">
                  <c:v>Bostwana</c:v>
                </c:pt>
              </c:strCache>
            </c:strRef>
          </c:tx>
          <c:spPr>
            <a:ln w="28575" cap="rnd">
              <a:solidFill>
                <a:schemeClr val="accent1">
                  <a:lumMod val="60000"/>
                </a:schemeClr>
              </a:solidFill>
              <a:round/>
            </a:ln>
            <a:effectLst/>
          </c:spPr>
          <c:marker>
            <c:symbol val="none"/>
          </c:marker>
          <c:cat>
            <c:numRef>
              <c:f>zeif!$B$1:$K$1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zeif!$B$8:$K$8</c:f>
              <c:numCache>
                <c:formatCode>General</c:formatCode>
                <c:ptCount val="10"/>
                <c:pt idx="0">
                  <c:v>8.4</c:v>
                </c:pt>
                <c:pt idx="1">
                  <c:v>8.3000000000000007</c:v>
                </c:pt>
                <c:pt idx="2">
                  <c:v>6.2</c:v>
                </c:pt>
                <c:pt idx="3">
                  <c:v>-7.7</c:v>
                </c:pt>
                <c:pt idx="4">
                  <c:v>8.6</c:v>
                </c:pt>
                <c:pt idx="5">
                  <c:v>6</c:v>
                </c:pt>
                <c:pt idx="6">
                  <c:v>4.5</c:v>
                </c:pt>
                <c:pt idx="7">
                  <c:v>11.3</c:v>
                </c:pt>
                <c:pt idx="8">
                  <c:v>4.0999999999999996</c:v>
                </c:pt>
                <c:pt idx="9">
                  <c:v>-1.7</c:v>
                </c:pt>
              </c:numCache>
            </c:numRef>
          </c:val>
          <c:smooth val="0"/>
          <c:extLst xmlns:c16r2="http://schemas.microsoft.com/office/drawing/2015/06/chart">
            <c:ext xmlns:c16="http://schemas.microsoft.com/office/drawing/2014/chart" uri="{C3380CC4-5D6E-409C-BE32-E72D297353CC}">
              <c16:uniqueId val="{00000006-CB1E-4503-9157-93B371733204}"/>
            </c:ext>
          </c:extLst>
        </c:ser>
        <c:ser>
          <c:idx val="7"/>
          <c:order val="7"/>
          <c:tx>
            <c:strRef>
              <c:f>zeif!$A$9</c:f>
              <c:strCache>
                <c:ptCount val="1"/>
                <c:pt idx="0">
                  <c:v>Nigeria</c:v>
                </c:pt>
              </c:strCache>
            </c:strRef>
          </c:tx>
          <c:spPr>
            <a:ln w="28575" cap="rnd">
              <a:solidFill>
                <a:schemeClr val="accent2">
                  <a:lumMod val="60000"/>
                </a:schemeClr>
              </a:solidFill>
              <a:round/>
            </a:ln>
            <a:effectLst/>
          </c:spPr>
          <c:marker>
            <c:symbol val="none"/>
          </c:marker>
          <c:cat>
            <c:numRef>
              <c:f>zeif!$B$1:$K$1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zeif!$B$9:$K$9</c:f>
              <c:numCache>
                <c:formatCode>General</c:formatCode>
                <c:ptCount val="10"/>
                <c:pt idx="0">
                  <c:v>6.7</c:v>
                </c:pt>
                <c:pt idx="1">
                  <c:v>7.3</c:v>
                </c:pt>
                <c:pt idx="2">
                  <c:v>7.2</c:v>
                </c:pt>
                <c:pt idx="3">
                  <c:v>8.4</c:v>
                </c:pt>
                <c:pt idx="4">
                  <c:v>11.3</c:v>
                </c:pt>
                <c:pt idx="5">
                  <c:v>4.9000000000000004</c:v>
                </c:pt>
                <c:pt idx="6">
                  <c:v>4.3</c:v>
                </c:pt>
                <c:pt idx="7">
                  <c:v>5.4</c:v>
                </c:pt>
                <c:pt idx="8">
                  <c:v>6.3</c:v>
                </c:pt>
                <c:pt idx="9">
                  <c:v>2.7</c:v>
                </c:pt>
              </c:numCache>
            </c:numRef>
          </c:val>
          <c:smooth val="0"/>
          <c:extLst xmlns:c16r2="http://schemas.microsoft.com/office/drawing/2015/06/chart">
            <c:ext xmlns:c16="http://schemas.microsoft.com/office/drawing/2014/chart" uri="{C3380CC4-5D6E-409C-BE32-E72D297353CC}">
              <c16:uniqueId val="{00000007-CB1E-4503-9157-93B371733204}"/>
            </c:ext>
          </c:extLst>
        </c:ser>
        <c:ser>
          <c:idx val="8"/>
          <c:order val="8"/>
          <c:tx>
            <c:strRef>
              <c:f>zeif!$A$10</c:f>
              <c:strCache>
                <c:ptCount val="1"/>
                <c:pt idx="0">
                  <c:v>Zimbabwe</c:v>
                </c:pt>
              </c:strCache>
            </c:strRef>
          </c:tx>
          <c:spPr>
            <a:ln w="28575" cap="rnd">
              <a:solidFill>
                <a:schemeClr val="accent3">
                  <a:lumMod val="60000"/>
                </a:schemeClr>
              </a:solidFill>
              <a:round/>
            </a:ln>
            <a:effectLst/>
          </c:spPr>
          <c:marker>
            <c:symbol val="none"/>
          </c:marker>
          <c:cat>
            <c:numRef>
              <c:f>zeif!$B$1:$K$1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zeif!$B$10:$K$10</c:f>
              <c:numCache>
                <c:formatCode>General</c:formatCode>
                <c:ptCount val="10"/>
                <c:pt idx="0">
                  <c:v>-3.6</c:v>
                </c:pt>
                <c:pt idx="1">
                  <c:v>-3.4</c:v>
                </c:pt>
                <c:pt idx="2">
                  <c:v>-16.3</c:v>
                </c:pt>
                <c:pt idx="3">
                  <c:v>7.4</c:v>
                </c:pt>
                <c:pt idx="4">
                  <c:v>19.7</c:v>
                </c:pt>
                <c:pt idx="5">
                  <c:v>14.2</c:v>
                </c:pt>
                <c:pt idx="6">
                  <c:v>16.7</c:v>
                </c:pt>
                <c:pt idx="7">
                  <c:v>2</c:v>
                </c:pt>
                <c:pt idx="8">
                  <c:v>2.4</c:v>
                </c:pt>
                <c:pt idx="9">
                  <c:v>1.8</c:v>
                </c:pt>
              </c:numCache>
            </c:numRef>
          </c:val>
          <c:smooth val="0"/>
          <c:extLst xmlns:c16r2="http://schemas.microsoft.com/office/drawing/2015/06/chart">
            <c:ext xmlns:c16="http://schemas.microsoft.com/office/drawing/2014/chart" uri="{C3380CC4-5D6E-409C-BE32-E72D297353CC}">
              <c16:uniqueId val="{00000008-CB1E-4503-9157-93B371733204}"/>
            </c:ext>
          </c:extLst>
        </c:ser>
        <c:ser>
          <c:idx val="9"/>
          <c:order val="9"/>
          <c:tx>
            <c:strRef>
              <c:f>zeif!$A$11</c:f>
              <c:strCache>
                <c:ptCount val="1"/>
                <c:pt idx="0">
                  <c:v>Dominica</c:v>
                </c:pt>
              </c:strCache>
            </c:strRef>
          </c:tx>
          <c:spPr>
            <a:ln w="28575" cap="rnd">
              <a:solidFill>
                <a:schemeClr val="accent4">
                  <a:lumMod val="60000"/>
                </a:schemeClr>
              </a:solidFill>
              <a:round/>
            </a:ln>
            <a:effectLst/>
          </c:spPr>
          <c:marker>
            <c:symbol val="none"/>
          </c:marker>
          <c:cat>
            <c:numRef>
              <c:f>zeif!$B$1:$K$1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zeif!$B$11:$K$11</c:f>
              <c:numCache>
                <c:formatCode>General</c:formatCode>
                <c:ptCount val="10"/>
                <c:pt idx="0">
                  <c:v>4.7</c:v>
                </c:pt>
                <c:pt idx="1">
                  <c:v>6.4</c:v>
                </c:pt>
                <c:pt idx="2">
                  <c:v>7.1</c:v>
                </c:pt>
                <c:pt idx="3">
                  <c:v>-1.2</c:v>
                </c:pt>
                <c:pt idx="4">
                  <c:v>0.7</c:v>
                </c:pt>
                <c:pt idx="5">
                  <c:v>-0.2</c:v>
                </c:pt>
                <c:pt idx="6">
                  <c:v>-1.1000000000000001</c:v>
                </c:pt>
                <c:pt idx="7">
                  <c:v>0.8</c:v>
                </c:pt>
                <c:pt idx="8">
                  <c:v>4.2</c:v>
                </c:pt>
                <c:pt idx="9">
                  <c:v>-3.7</c:v>
                </c:pt>
              </c:numCache>
            </c:numRef>
          </c:val>
          <c:smooth val="0"/>
          <c:extLst xmlns:c16r2="http://schemas.microsoft.com/office/drawing/2015/06/chart">
            <c:ext xmlns:c16="http://schemas.microsoft.com/office/drawing/2014/chart" uri="{C3380CC4-5D6E-409C-BE32-E72D297353CC}">
              <c16:uniqueId val="{00000009-CB1E-4503-9157-93B371733204}"/>
            </c:ext>
          </c:extLst>
        </c:ser>
        <c:dLbls>
          <c:showLegendKey val="0"/>
          <c:showVal val="0"/>
          <c:showCatName val="0"/>
          <c:showSerName val="0"/>
          <c:showPercent val="0"/>
          <c:showBubbleSize val="0"/>
        </c:dLbls>
        <c:smooth val="0"/>
        <c:axId val="-1606135296"/>
        <c:axId val="-1606148352"/>
      </c:lineChart>
      <c:catAx>
        <c:axId val="-160613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6148352"/>
        <c:crosses val="autoZero"/>
        <c:auto val="1"/>
        <c:lblAlgn val="ctr"/>
        <c:lblOffset val="100"/>
        <c:noMultiLvlLbl val="0"/>
      </c:catAx>
      <c:valAx>
        <c:axId val="-1606148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6135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'[Book1 (1).xlsx]guclu'!$A$19</c:f>
              <c:strCache>
                <c:ptCount val="1"/>
                <c:pt idx="0">
                  <c:v>China</c:v>
                </c:pt>
              </c:strCache>
            </c:strRef>
          </c:tx>
          <c:marker>
            <c:symbol val="none"/>
          </c:marker>
          <c:cat>
            <c:numRef>
              <c:f>'[Book1 (1).xlsx]guclu'!$B$18:$K$18</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(1).xlsx]guclu'!$B$19:$K$19</c:f>
              <c:numCache>
                <c:formatCode>General</c:formatCode>
                <c:ptCount val="10"/>
                <c:pt idx="0">
                  <c:v>0.48699999999999999</c:v>
                </c:pt>
                <c:pt idx="1">
                  <c:v>0.48399999999999999</c:v>
                </c:pt>
                <c:pt idx="2">
                  <c:v>0.49099999999999999</c:v>
                </c:pt>
                <c:pt idx="3">
                  <c:v>0.49</c:v>
                </c:pt>
                <c:pt idx="4">
                  <c:v>0.48099999999999998</c:v>
                </c:pt>
                <c:pt idx="5">
                  <c:v>0.47699999999999998</c:v>
                </c:pt>
                <c:pt idx="6">
                  <c:v>0.47399999999999998</c:v>
                </c:pt>
                <c:pt idx="7">
                  <c:v>0.47299999999999998</c:v>
                </c:pt>
                <c:pt idx="8">
                  <c:v>0.46899999999999997</c:v>
                </c:pt>
                <c:pt idx="9">
                  <c:v>0.46200000000000002</c:v>
                </c:pt>
              </c:numCache>
            </c:numRef>
          </c:val>
          <c:smooth val="0"/>
        </c:ser>
        <c:ser>
          <c:idx val="1"/>
          <c:order val="1"/>
          <c:tx>
            <c:strRef>
              <c:f>'[Book1 (1).xlsx]guclu'!$A$20</c:f>
              <c:strCache>
                <c:ptCount val="1"/>
                <c:pt idx="0">
                  <c:v>US</c:v>
                </c:pt>
              </c:strCache>
            </c:strRef>
          </c:tx>
          <c:marker>
            <c:symbol val="none"/>
          </c:marker>
          <c:cat>
            <c:numRef>
              <c:f>'[Book1 (1).xlsx]guclu'!$B$18:$K$18</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(1).xlsx]guclu'!$B$20:$K$20</c:f>
              <c:numCache>
                <c:formatCode>General</c:formatCode>
                <c:ptCount val="10"/>
                <c:pt idx="0">
                  <c:v>0.40500000000000003</c:v>
                </c:pt>
                <c:pt idx="1">
                  <c:v>0.41099999999999998</c:v>
                </c:pt>
                <c:pt idx="2">
                  <c:v>0.41</c:v>
                </c:pt>
                <c:pt idx="3">
                  <c:v>0.40899999999999997</c:v>
                </c:pt>
                <c:pt idx="4">
                  <c:v>0.40400000000000003</c:v>
                </c:pt>
                <c:pt idx="5">
                  <c:v>0.40799999999999997</c:v>
                </c:pt>
                <c:pt idx="6">
                  <c:v>0.40699999999999997</c:v>
                </c:pt>
                <c:pt idx="7">
                  <c:v>0.41</c:v>
                </c:pt>
                <c:pt idx="8">
                  <c:v>0.41299999999999998</c:v>
                </c:pt>
                <c:pt idx="9">
                  <c:v>0.41399999999999998</c:v>
                </c:pt>
              </c:numCache>
            </c:numRef>
          </c:val>
          <c:smooth val="0"/>
        </c:ser>
        <c:ser>
          <c:idx val="2"/>
          <c:order val="2"/>
          <c:tx>
            <c:strRef>
              <c:f>'[Book1 (1).xlsx]guclu'!$A$21</c:f>
              <c:strCache>
                <c:ptCount val="1"/>
                <c:pt idx="0">
                  <c:v>German</c:v>
                </c:pt>
              </c:strCache>
            </c:strRef>
          </c:tx>
          <c:marker>
            <c:symbol val="none"/>
          </c:marker>
          <c:cat>
            <c:numRef>
              <c:f>'[Book1 (1).xlsx]guclu'!$B$18:$K$18</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(1).xlsx]guclu'!$B$21:$K$21</c:f>
              <c:numCache>
                <c:formatCode>General</c:formatCode>
                <c:ptCount val="10"/>
                <c:pt idx="0">
                  <c:v>0.313</c:v>
                </c:pt>
                <c:pt idx="1">
                  <c:v>0.31</c:v>
                </c:pt>
                <c:pt idx="2">
                  <c:v>0.308</c:v>
                </c:pt>
                <c:pt idx="3">
                  <c:v>0.30499999999999999</c:v>
                </c:pt>
                <c:pt idx="4">
                  <c:v>0.30199999999999999</c:v>
                </c:pt>
                <c:pt idx="5">
                  <c:v>0.30499999999999999</c:v>
                </c:pt>
                <c:pt idx="6">
                  <c:v>0.312</c:v>
                </c:pt>
                <c:pt idx="7">
                  <c:v>0.311</c:v>
                </c:pt>
                <c:pt idx="8">
                  <c:v>0.317</c:v>
                </c:pt>
                <c:pt idx="9">
                  <c:v>0.318</c:v>
                </c:pt>
              </c:numCache>
            </c:numRef>
          </c:val>
          <c:smooth val="0"/>
        </c:ser>
        <c:ser>
          <c:idx val="3"/>
          <c:order val="3"/>
          <c:tx>
            <c:strRef>
              <c:f>'[Book1 (1).xlsx]guclu'!$A$22</c:f>
              <c:strCache>
                <c:ptCount val="1"/>
                <c:pt idx="0">
                  <c:v>Italy</c:v>
                </c:pt>
              </c:strCache>
            </c:strRef>
          </c:tx>
          <c:marker>
            <c:symbol val="none"/>
          </c:marker>
          <c:cat>
            <c:numRef>
              <c:f>'[Book1 (1).xlsx]guclu'!$B$18:$K$18</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(1).xlsx]guclu'!$B$22:$K$22</c:f>
              <c:numCache>
                <c:formatCode>General</c:formatCode>
                <c:ptCount val="10"/>
                <c:pt idx="0">
                  <c:v>0.33700000000000002</c:v>
                </c:pt>
                <c:pt idx="1">
                  <c:v>0.32900000000000001</c:v>
                </c:pt>
                <c:pt idx="2">
                  <c:v>0.33800000000000002</c:v>
                </c:pt>
                <c:pt idx="3">
                  <c:v>0.33800000000000002</c:v>
                </c:pt>
                <c:pt idx="4">
                  <c:v>0.34699999999999998</c:v>
                </c:pt>
                <c:pt idx="5">
                  <c:v>0.35099999999999998</c:v>
                </c:pt>
                <c:pt idx="6">
                  <c:v>0.35199999999999998</c:v>
                </c:pt>
                <c:pt idx="7">
                  <c:v>0.34899999999999998</c:v>
                </c:pt>
                <c:pt idx="8">
                  <c:v>0.34699999999999998</c:v>
                </c:pt>
                <c:pt idx="9">
                  <c:v>0.35399999999999998</c:v>
                </c:pt>
              </c:numCache>
            </c:numRef>
          </c:val>
          <c:smooth val="0"/>
        </c:ser>
        <c:ser>
          <c:idx val="4"/>
          <c:order val="4"/>
          <c:tx>
            <c:strRef>
              <c:f>'[Book1 (1).xlsx]guclu'!$A$23</c:f>
              <c:strCache>
                <c:ptCount val="1"/>
                <c:pt idx="0">
                  <c:v>France</c:v>
                </c:pt>
              </c:strCache>
            </c:strRef>
          </c:tx>
          <c:marker>
            <c:symbol val="none"/>
          </c:marker>
          <c:cat>
            <c:numRef>
              <c:f>'[Book1 (1).xlsx]guclu'!$B$18:$K$18</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(1).xlsx]guclu'!$B$23:$K$23</c:f>
              <c:numCache>
                <c:formatCode>General</c:formatCode>
                <c:ptCount val="10"/>
                <c:pt idx="0">
                  <c:v>0.29699999999999999</c:v>
                </c:pt>
                <c:pt idx="1">
                  <c:v>0.32400000000000001</c:v>
                </c:pt>
                <c:pt idx="2">
                  <c:v>0.33</c:v>
                </c:pt>
                <c:pt idx="3">
                  <c:v>0.32700000000000001</c:v>
                </c:pt>
                <c:pt idx="4">
                  <c:v>0.33700000000000002</c:v>
                </c:pt>
                <c:pt idx="5">
                  <c:v>0.33300000000000002</c:v>
                </c:pt>
                <c:pt idx="6">
                  <c:v>0.33100000000000002</c:v>
                </c:pt>
                <c:pt idx="7">
                  <c:v>0.32500000000000001</c:v>
                </c:pt>
                <c:pt idx="8">
                  <c:v>0.32300000000000001</c:v>
                </c:pt>
                <c:pt idx="9">
                  <c:v>0.32700000000000001</c:v>
                </c:pt>
              </c:numCache>
            </c:numRef>
          </c:val>
          <c:smooth val="0"/>
        </c:ser>
        <c:ser>
          <c:idx val="5"/>
          <c:order val="5"/>
          <c:tx>
            <c:strRef>
              <c:f>'[Book1 (1).xlsx]guclu'!$A$24</c:f>
              <c:strCache>
                <c:ptCount val="1"/>
                <c:pt idx="0">
                  <c:v>UK</c:v>
                </c:pt>
              </c:strCache>
            </c:strRef>
          </c:tx>
          <c:marker>
            <c:symbol val="none"/>
          </c:marker>
          <c:cat>
            <c:numRef>
              <c:f>'[Book1 (1).xlsx]guclu'!$B$18:$K$18</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(1).xlsx]guclu'!$B$24:$K$24</c:f>
              <c:numCache>
                <c:formatCode>General</c:formatCode>
                <c:ptCount val="10"/>
                <c:pt idx="0">
                  <c:v>0.34599999999999997</c:v>
                </c:pt>
                <c:pt idx="1">
                  <c:v>0.35699999999999998</c:v>
                </c:pt>
                <c:pt idx="2">
                  <c:v>0.34100000000000003</c:v>
                </c:pt>
                <c:pt idx="3">
                  <c:v>0.34300000000000003</c:v>
                </c:pt>
                <c:pt idx="4">
                  <c:v>0.34399999999999997</c:v>
                </c:pt>
                <c:pt idx="5">
                  <c:v>0.33200000000000002</c:v>
                </c:pt>
                <c:pt idx="6">
                  <c:v>0.32300000000000001</c:v>
                </c:pt>
                <c:pt idx="7">
                  <c:v>0.33200000000000002</c:v>
                </c:pt>
                <c:pt idx="8">
                  <c:v>0.34</c:v>
                </c:pt>
                <c:pt idx="9">
                  <c:v>0.33200000000000002</c:v>
                </c:pt>
              </c:numCache>
            </c:numRef>
          </c:val>
          <c:smooth val="0"/>
        </c:ser>
        <c:ser>
          <c:idx val="6"/>
          <c:order val="6"/>
          <c:tx>
            <c:strRef>
              <c:f>'[Book1 (1).xlsx]guclu'!$A$25</c:f>
              <c:strCache>
                <c:ptCount val="1"/>
                <c:pt idx="0">
                  <c:v>Japan</c:v>
                </c:pt>
              </c:strCache>
            </c:strRef>
          </c:tx>
          <c:marker>
            <c:symbol val="none"/>
          </c:marker>
          <c:cat>
            <c:numRef>
              <c:f>'[Book1 (1).xlsx]guclu'!$B$18:$K$18</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(1).xlsx]guclu'!$B$25:$K$25</c:f>
              <c:numCache>
                <c:formatCode>General</c:formatCode>
                <c:ptCount val="10"/>
                <c:pt idx="0">
                  <c:v>0.32100000000000001</c:v>
                </c:pt>
                <c:pt idx="1">
                  <c:v>0.32500000000000001</c:v>
                </c:pt>
                <c:pt idx="2">
                  <c:v>0.32100000000000001</c:v>
                </c:pt>
                <c:pt idx="3">
                  <c:v>0.33600000000000002</c:v>
                </c:pt>
                <c:pt idx="4">
                  <c:v>0.32800000000000001</c:v>
                </c:pt>
                <c:pt idx="5">
                  <c:v>0.35</c:v>
                </c:pt>
                <c:pt idx="6">
                  <c:v>0.33</c:v>
                </c:pt>
                <c:pt idx="7">
                  <c:v>0.33700000000000002</c:v>
                </c:pt>
                <c:pt idx="8">
                  <c:v>0.33100000000000002</c:v>
                </c:pt>
                <c:pt idx="9">
                  <c:v>0.33900000000000002</c:v>
                </c:pt>
              </c:numCache>
            </c:numRef>
          </c:val>
          <c:smooth val="0"/>
        </c:ser>
        <c:ser>
          <c:idx val="7"/>
          <c:order val="7"/>
          <c:tx>
            <c:strRef>
              <c:f>'[Book1 (1).xlsx]guclu'!$A$26</c:f>
              <c:strCache>
                <c:ptCount val="1"/>
                <c:pt idx="0">
                  <c:v>Austria</c:v>
                </c:pt>
              </c:strCache>
            </c:strRef>
          </c:tx>
          <c:marker>
            <c:symbol val="none"/>
          </c:marker>
          <c:cat>
            <c:numRef>
              <c:f>'[Book1 (1).xlsx]guclu'!$B$18:$K$18</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(1).xlsx]guclu'!$B$26:$K$26</c:f>
              <c:numCache>
                <c:formatCode>General</c:formatCode>
                <c:ptCount val="10"/>
                <c:pt idx="0">
                  <c:v>0.29599999999999999</c:v>
                </c:pt>
                <c:pt idx="1">
                  <c:v>0.30599999999999999</c:v>
                </c:pt>
                <c:pt idx="2">
                  <c:v>0.30399999999999999</c:v>
                </c:pt>
                <c:pt idx="3">
                  <c:v>0.315</c:v>
                </c:pt>
                <c:pt idx="4">
                  <c:v>0.30299999999999999</c:v>
                </c:pt>
                <c:pt idx="5">
                  <c:v>0.308</c:v>
                </c:pt>
                <c:pt idx="6">
                  <c:v>0.30499999999999999</c:v>
                </c:pt>
                <c:pt idx="7">
                  <c:v>0.308</c:v>
                </c:pt>
                <c:pt idx="8">
                  <c:v>0.30499999999999999</c:v>
                </c:pt>
                <c:pt idx="9">
                  <c:v>0.30499999999999999</c:v>
                </c:pt>
              </c:numCache>
            </c:numRef>
          </c:val>
          <c:smooth val="0"/>
        </c:ser>
        <c:ser>
          <c:idx val="8"/>
          <c:order val="8"/>
          <c:tx>
            <c:strRef>
              <c:f>'[Book1 (1).xlsx]guclu'!$A$27</c:f>
              <c:strCache>
                <c:ptCount val="1"/>
                <c:pt idx="0">
                  <c:v>Norway</c:v>
                </c:pt>
              </c:strCache>
            </c:strRef>
          </c:tx>
          <c:marker>
            <c:symbol val="none"/>
          </c:marker>
          <c:cat>
            <c:numRef>
              <c:f>'[Book1 (1).xlsx]guclu'!$B$18:$K$18</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(1).xlsx]guclu'!$B$27:$K$27</c:f>
              <c:numCache>
                <c:formatCode>General</c:formatCode>
                <c:ptCount val="10"/>
                <c:pt idx="0">
                  <c:v>0.26400000000000001</c:v>
                </c:pt>
                <c:pt idx="1">
                  <c:v>0.27100000000000002</c:v>
                </c:pt>
                <c:pt idx="2">
                  <c:v>0.27</c:v>
                </c:pt>
                <c:pt idx="3">
                  <c:v>0.26200000000000001</c:v>
                </c:pt>
                <c:pt idx="4">
                  <c:v>0.25700000000000001</c:v>
                </c:pt>
                <c:pt idx="5">
                  <c:v>0.253</c:v>
                </c:pt>
                <c:pt idx="6">
                  <c:v>0.25700000000000001</c:v>
                </c:pt>
                <c:pt idx="7">
                  <c:v>0.26400000000000001</c:v>
                </c:pt>
                <c:pt idx="8">
                  <c:v>0.26800000000000002</c:v>
                </c:pt>
                <c:pt idx="9">
                  <c:v>0.27500000000000002</c:v>
                </c:pt>
              </c:numCache>
            </c:numRef>
          </c:val>
          <c:smooth val="0"/>
        </c:ser>
        <c:ser>
          <c:idx val="9"/>
          <c:order val="9"/>
          <c:tx>
            <c:strRef>
              <c:f>'[Book1 (1).xlsx]guclu'!$A$28</c:f>
              <c:strCache>
                <c:ptCount val="1"/>
                <c:pt idx="0">
                  <c:v>Denmark</c:v>
                </c:pt>
              </c:strCache>
            </c:strRef>
          </c:tx>
          <c:marker>
            <c:symbol val="none"/>
          </c:marker>
          <c:cat>
            <c:numRef>
              <c:f>'[Book1 (1).xlsx]guclu'!$B$18:$K$18</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(1).xlsx]guclu'!$B$28:$K$28</c:f>
              <c:numCache>
                <c:formatCode>General</c:formatCode>
                <c:ptCount val="10"/>
                <c:pt idx="0">
                  <c:v>0.25900000000000001</c:v>
                </c:pt>
                <c:pt idx="1">
                  <c:v>0.26200000000000001</c:v>
                </c:pt>
                <c:pt idx="2">
                  <c:v>0.252</c:v>
                </c:pt>
                <c:pt idx="3">
                  <c:v>0.26700000000000002</c:v>
                </c:pt>
                <c:pt idx="4">
                  <c:v>0.27200000000000002</c:v>
                </c:pt>
                <c:pt idx="5">
                  <c:v>0.27300000000000002</c:v>
                </c:pt>
                <c:pt idx="6">
                  <c:v>0.27800000000000002</c:v>
                </c:pt>
                <c:pt idx="7">
                  <c:v>0.28499999999999998</c:v>
                </c:pt>
                <c:pt idx="8">
                  <c:v>0.28399999999999997</c:v>
                </c:pt>
                <c:pt idx="9">
                  <c:v>0.28199999999999997</c:v>
                </c:pt>
              </c:numCache>
            </c:numRef>
          </c:val>
          <c:smooth val="0"/>
        </c:ser>
        <c:dLbls>
          <c:showLegendKey val="0"/>
          <c:showVal val="0"/>
          <c:showCatName val="0"/>
          <c:showSerName val="0"/>
          <c:showPercent val="0"/>
          <c:showBubbleSize val="0"/>
        </c:dLbls>
        <c:smooth val="0"/>
        <c:axId val="-1606149984"/>
        <c:axId val="-1606157600"/>
      </c:lineChart>
      <c:catAx>
        <c:axId val="-1606149984"/>
        <c:scaling>
          <c:orientation val="minMax"/>
        </c:scaling>
        <c:delete val="0"/>
        <c:axPos val="b"/>
        <c:numFmt formatCode="General" sourceLinked="1"/>
        <c:majorTickMark val="out"/>
        <c:minorTickMark val="none"/>
        <c:tickLblPos val="nextTo"/>
        <c:crossAx val="-1606157600"/>
        <c:crosses val="autoZero"/>
        <c:auto val="1"/>
        <c:lblAlgn val="ctr"/>
        <c:lblOffset val="100"/>
        <c:noMultiLvlLbl val="0"/>
      </c:catAx>
      <c:valAx>
        <c:axId val="-1606157600"/>
        <c:scaling>
          <c:orientation val="minMax"/>
        </c:scaling>
        <c:delete val="0"/>
        <c:axPos val="l"/>
        <c:majorGridlines/>
        <c:numFmt formatCode="General" sourceLinked="1"/>
        <c:majorTickMark val="out"/>
        <c:minorTickMark val="none"/>
        <c:tickLblPos val="nextTo"/>
        <c:crossAx val="-160614998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'[Book1 (1).xlsx]orta'!$A$19</c:f>
              <c:strCache>
                <c:ptCount val="1"/>
                <c:pt idx="0">
                  <c:v>Slovakia</c:v>
                </c:pt>
              </c:strCache>
            </c:strRef>
          </c:tx>
          <c:marker>
            <c:symbol val="none"/>
          </c:marker>
          <c:cat>
            <c:numRef>
              <c:f>'[Book1 (1).xlsx]orta'!$B$18:$K$18</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(1).xlsx]orta'!$B$19:$K$19</c:f>
              <c:numCache>
                <c:formatCode>General</c:formatCode>
                <c:ptCount val="10"/>
                <c:pt idx="0">
                  <c:v>0.25800000000000001</c:v>
                </c:pt>
                <c:pt idx="1">
                  <c:v>0.247</c:v>
                </c:pt>
                <c:pt idx="2">
                  <c:v>0.26</c:v>
                </c:pt>
                <c:pt idx="3">
                  <c:v>0.27200000000000002</c:v>
                </c:pt>
                <c:pt idx="4">
                  <c:v>0.27300000000000002</c:v>
                </c:pt>
                <c:pt idx="5">
                  <c:v>0.26500000000000001</c:v>
                </c:pt>
                <c:pt idx="6">
                  <c:v>0.26100000000000001</c:v>
                </c:pt>
                <c:pt idx="7">
                  <c:v>0.28100000000000003</c:v>
                </c:pt>
                <c:pt idx="8">
                  <c:v>0.26100000000000001</c:v>
                </c:pt>
                <c:pt idx="9">
                  <c:v>0.26500000000000001</c:v>
                </c:pt>
              </c:numCache>
            </c:numRef>
          </c:val>
          <c:smooth val="0"/>
        </c:ser>
        <c:ser>
          <c:idx val="1"/>
          <c:order val="1"/>
          <c:tx>
            <c:strRef>
              <c:f>'[Book1 (1).xlsx]orta'!$A$20</c:f>
              <c:strCache>
                <c:ptCount val="1"/>
                <c:pt idx="0">
                  <c:v>Slovenia</c:v>
                </c:pt>
              </c:strCache>
            </c:strRef>
          </c:tx>
          <c:marker>
            <c:symbol val="none"/>
          </c:marker>
          <c:cat>
            <c:numRef>
              <c:f>'[Book1 (1).xlsx]orta'!$B$18:$K$18</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(1).xlsx]orta'!$B$20:$K$20</c:f>
              <c:numCache>
                <c:formatCode>General</c:formatCode>
                <c:ptCount val="10"/>
                <c:pt idx="0">
                  <c:v>0.24399999999999999</c:v>
                </c:pt>
                <c:pt idx="1">
                  <c:v>0.24399999999999999</c:v>
                </c:pt>
                <c:pt idx="2">
                  <c:v>0.23699999999999999</c:v>
                </c:pt>
                <c:pt idx="3">
                  <c:v>0.248</c:v>
                </c:pt>
                <c:pt idx="4">
                  <c:v>0.249</c:v>
                </c:pt>
                <c:pt idx="5">
                  <c:v>0.249</c:v>
                </c:pt>
                <c:pt idx="6">
                  <c:v>0.25600000000000001</c:v>
                </c:pt>
                <c:pt idx="7">
                  <c:v>0.26200000000000001</c:v>
                </c:pt>
                <c:pt idx="8">
                  <c:v>0.25700000000000001</c:v>
                </c:pt>
                <c:pt idx="9">
                  <c:v>0.254</c:v>
                </c:pt>
              </c:numCache>
            </c:numRef>
          </c:val>
          <c:smooth val="0"/>
        </c:ser>
        <c:ser>
          <c:idx val="2"/>
          <c:order val="2"/>
          <c:tx>
            <c:strRef>
              <c:f>'[Book1 (1).xlsx]orta'!$A$21</c:f>
              <c:strCache>
                <c:ptCount val="1"/>
                <c:pt idx="0">
                  <c:v>Czech</c:v>
                </c:pt>
              </c:strCache>
            </c:strRef>
          </c:tx>
          <c:marker>
            <c:symbol val="none"/>
          </c:marker>
          <c:cat>
            <c:numRef>
              <c:f>'[Book1 (1).xlsx]orta'!$B$18:$K$18</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(1).xlsx]orta'!$B$21:$K$21</c:f>
              <c:numCache>
                <c:formatCode>General</c:formatCode>
                <c:ptCount val="10"/>
                <c:pt idx="0">
                  <c:v>0.26700000000000002</c:v>
                </c:pt>
                <c:pt idx="1">
                  <c:v>0.26</c:v>
                </c:pt>
                <c:pt idx="2">
                  <c:v>0.26300000000000001</c:v>
                </c:pt>
                <c:pt idx="3">
                  <c:v>0.26200000000000001</c:v>
                </c:pt>
                <c:pt idx="4">
                  <c:v>0.26600000000000001</c:v>
                </c:pt>
                <c:pt idx="5">
                  <c:v>0.26400000000000001</c:v>
                </c:pt>
                <c:pt idx="6">
                  <c:v>0.26100000000000001</c:v>
                </c:pt>
                <c:pt idx="7">
                  <c:v>0.26500000000000001</c:v>
                </c:pt>
                <c:pt idx="8">
                  <c:v>0.25900000000000001</c:v>
                </c:pt>
                <c:pt idx="9">
                  <c:v>0.25900000000000001</c:v>
                </c:pt>
              </c:numCache>
            </c:numRef>
          </c:val>
          <c:smooth val="0"/>
        </c:ser>
        <c:ser>
          <c:idx val="3"/>
          <c:order val="3"/>
          <c:tx>
            <c:strRef>
              <c:f>'[Book1 (1).xlsx]orta'!$A$22</c:f>
              <c:strCache>
                <c:ptCount val="1"/>
                <c:pt idx="0">
                  <c:v>Lithuania</c:v>
                </c:pt>
              </c:strCache>
            </c:strRef>
          </c:tx>
          <c:marker>
            <c:symbol val="none"/>
          </c:marker>
          <c:cat>
            <c:numRef>
              <c:f>'[Book1 (1).xlsx]orta'!$B$18:$K$18</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(1).xlsx]orta'!$B$22:$K$22</c:f>
              <c:numCache>
                <c:formatCode>General</c:formatCode>
                <c:ptCount val="10"/>
                <c:pt idx="0">
                  <c:v>0.34399999999999997</c:v>
                </c:pt>
                <c:pt idx="1">
                  <c:v>0.34799999999999998</c:v>
                </c:pt>
                <c:pt idx="2">
                  <c:v>0.35699999999999998</c:v>
                </c:pt>
                <c:pt idx="3">
                  <c:v>0.372</c:v>
                </c:pt>
                <c:pt idx="4">
                  <c:v>0.33600000000000002</c:v>
                </c:pt>
                <c:pt idx="5">
                  <c:v>0.32500000000000001</c:v>
                </c:pt>
                <c:pt idx="6">
                  <c:v>0.35099999999999998</c:v>
                </c:pt>
                <c:pt idx="7">
                  <c:v>0.35299999999999998</c:v>
                </c:pt>
                <c:pt idx="8">
                  <c:v>0.377</c:v>
                </c:pt>
                <c:pt idx="9">
                  <c:v>0.374</c:v>
                </c:pt>
              </c:numCache>
            </c:numRef>
          </c:val>
          <c:smooth val="0"/>
        </c:ser>
        <c:ser>
          <c:idx val="4"/>
          <c:order val="4"/>
          <c:tx>
            <c:strRef>
              <c:f>'[Book1 (1).xlsx]orta'!$A$23</c:f>
              <c:strCache>
                <c:ptCount val="1"/>
                <c:pt idx="0">
                  <c:v>estonia</c:v>
                </c:pt>
              </c:strCache>
            </c:strRef>
          </c:tx>
          <c:marker>
            <c:symbol val="none"/>
          </c:marker>
          <c:cat>
            <c:numRef>
              <c:f>'[Book1 (1).xlsx]orta'!$B$18:$K$18</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(1).xlsx]orta'!$B$23:$K$23</c:f>
              <c:numCache>
                <c:formatCode>General</c:formatCode>
                <c:ptCount val="10"/>
                <c:pt idx="0">
                  <c:v>0.33700000000000002</c:v>
                </c:pt>
                <c:pt idx="1">
                  <c:v>0.312</c:v>
                </c:pt>
                <c:pt idx="2">
                  <c:v>0.31900000000000001</c:v>
                </c:pt>
                <c:pt idx="3">
                  <c:v>0.314</c:v>
                </c:pt>
                <c:pt idx="4">
                  <c:v>0.32</c:v>
                </c:pt>
                <c:pt idx="5">
                  <c:v>0.32500000000000001</c:v>
                </c:pt>
                <c:pt idx="6">
                  <c:v>0.32900000000000001</c:v>
                </c:pt>
                <c:pt idx="7">
                  <c:v>0.35099999999999998</c:v>
                </c:pt>
                <c:pt idx="8">
                  <c:v>0.34599999999999997</c:v>
                </c:pt>
                <c:pt idx="9">
                  <c:v>0.32700000000000001</c:v>
                </c:pt>
              </c:numCache>
            </c:numRef>
          </c:val>
          <c:smooth val="0"/>
        </c:ser>
        <c:ser>
          <c:idx val="5"/>
          <c:order val="5"/>
          <c:tx>
            <c:strRef>
              <c:f>'[Book1 (1).xlsx]orta'!$A$24</c:f>
              <c:strCache>
                <c:ptCount val="1"/>
                <c:pt idx="0">
                  <c:v>latvia</c:v>
                </c:pt>
              </c:strCache>
            </c:strRef>
          </c:tx>
          <c:marker>
            <c:symbol val="none"/>
          </c:marker>
          <c:cat>
            <c:numRef>
              <c:f>'[Book1 (1).xlsx]orta'!$B$18:$K$18</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(1).xlsx]orta'!$B$24:$K$24</c:f>
              <c:numCache>
                <c:formatCode>General</c:formatCode>
                <c:ptCount val="10"/>
                <c:pt idx="0">
                  <c:v>0.35599999999999998</c:v>
                </c:pt>
                <c:pt idx="1">
                  <c:v>0.375</c:v>
                </c:pt>
                <c:pt idx="2">
                  <c:v>0.372</c:v>
                </c:pt>
                <c:pt idx="3">
                  <c:v>0.35899999999999999</c:v>
                </c:pt>
                <c:pt idx="4">
                  <c:v>0.35</c:v>
                </c:pt>
                <c:pt idx="5">
                  <c:v>0.35799999999999998</c:v>
                </c:pt>
                <c:pt idx="6">
                  <c:v>0.35199999999999998</c:v>
                </c:pt>
                <c:pt idx="7">
                  <c:v>0.35499999999999998</c:v>
                </c:pt>
                <c:pt idx="8">
                  <c:v>0.35099999999999998</c:v>
                </c:pt>
                <c:pt idx="9">
                  <c:v>0.34200000000000003</c:v>
                </c:pt>
              </c:numCache>
            </c:numRef>
          </c:val>
          <c:smooth val="0"/>
        </c:ser>
        <c:ser>
          <c:idx val="6"/>
          <c:order val="6"/>
          <c:tx>
            <c:strRef>
              <c:f>'[Book1 (1).xlsx]orta'!$A$25</c:f>
              <c:strCache>
                <c:ptCount val="1"/>
                <c:pt idx="0">
                  <c:v>greece</c:v>
                </c:pt>
              </c:strCache>
            </c:strRef>
          </c:tx>
          <c:marker>
            <c:symbol val="none"/>
          </c:marker>
          <c:cat>
            <c:numRef>
              <c:f>'[Book1 (1).xlsx]orta'!$B$18:$K$18</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(1).xlsx]orta'!$B$25:$K$25</c:f>
              <c:numCache>
                <c:formatCode>General</c:formatCode>
                <c:ptCount val="10"/>
                <c:pt idx="0">
                  <c:v>0.35099999999999998</c:v>
                </c:pt>
                <c:pt idx="1">
                  <c:v>0.34</c:v>
                </c:pt>
                <c:pt idx="2">
                  <c:v>0.33600000000000002</c:v>
                </c:pt>
                <c:pt idx="3">
                  <c:v>0.33600000000000002</c:v>
                </c:pt>
                <c:pt idx="4">
                  <c:v>0.34100000000000003</c:v>
                </c:pt>
                <c:pt idx="5">
                  <c:v>0.34799999999999998</c:v>
                </c:pt>
                <c:pt idx="6">
                  <c:v>0.36199999999999999</c:v>
                </c:pt>
                <c:pt idx="7">
                  <c:v>0.36099999999999999</c:v>
                </c:pt>
                <c:pt idx="8">
                  <c:v>0.35799999999999998</c:v>
                </c:pt>
                <c:pt idx="9">
                  <c:v>0.36</c:v>
                </c:pt>
              </c:numCache>
            </c:numRef>
          </c:val>
          <c:smooth val="0"/>
        </c:ser>
        <c:ser>
          <c:idx val="7"/>
          <c:order val="7"/>
          <c:tx>
            <c:strRef>
              <c:f>'[Book1 (1).xlsx]orta'!$A$26</c:f>
              <c:strCache>
                <c:ptCount val="1"/>
                <c:pt idx="0">
                  <c:v>poland</c:v>
                </c:pt>
              </c:strCache>
            </c:strRef>
          </c:tx>
          <c:marker>
            <c:symbol val="none"/>
          </c:marker>
          <c:cat>
            <c:numRef>
              <c:f>'[Book1 (1).xlsx]orta'!$B$18:$K$18</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(1).xlsx]orta'!$B$26:$K$26</c:f>
              <c:numCache>
                <c:formatCode>General</c:formatCode>
                <c:ptCount val="10"/>
                <c:pt idx="0">
                  <c:v>0.33700000000000002</c:v>
                </c:pt>
                <c:pt idx="1">
                  <c:v>0.33500000000000002</c:v>
                </c:pt>
                <c:pt idx="2">
                  <c:v>0.33700000000000002</c:v>
                </c:pt>
                <c:pt idx="3">
                  <c:v>0.33600000000000002</c:v>
                </c:pt>
                <c:pt idx="4">
                  <c:v>0.33200000000000002</c:v>
                </c:pt>
                <c:pt idx="5">
                  <c:v>0.32800000000000001</c:v>
                </c:pt>
                <c:pt idx="6">
                  <c:v>0.32400000000000001</c:v>
                </c:pt>
                <c:pt idx="7">
                  <c:v>0.32500000000000001</c:v>
                </c:pt>
                <c:pt idx="8">
                  <c:v>0.32100000000000001</c:v>
                </c:pt>
                <c:pt idx="9">
                  <c:v>0.318</c:v>
                </c:pt>
              </c:numCache>
            </c:numRef>
          </c:val>
          <c:smooth val="0"/>
        </c:ser>
        <c:ser>
          <c:idx val="8"/>
          <c:order val="8"/>
          <c:tx>
            <c:strRef>
              <c:f>'[Book1 (1).xlsx]orta'!$A$27</c:f>
              <c:strCache>
                <c:ptCount val="1"/>
                <c:pt idx="0">
                  <c:v>cyprus</c:v>
                </c:pt>
              </c:strCache>
            </c:strRef>
          </c:tx>
          <c:marker>
            <c:symbol val="none"/>
          </c:marker>
          <c:cat>
            <c:numRef>
              <c:f>'[Book1 (1).xlsx]orta'!$B$18:$K$18</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(1).xlsx]orta'!$B$27:$K$27</c:f>
              <c:numCache>
                <c:formatCode>General</c:formatCode>
                <c:ptCount val="10"/>
                <c:pt idx="0">
                  <c:v>0.311</c:v>
                </c:pt>
                <c:pt idx="1">
                  <c:v>0.311</c:v>
                </c:pt>
                <c:pt idx="2">
                  <c:v>0.317</c:v>
                </c:pt>
                <c:pt idx="3">
                  <c:v>0.32100000000000001</c:v>
                </c:pt>
                <c:pt idx="4">
                  <c:v>0.315</c:v>
                </c:pt>
                <c:pt idx="5">
                  <c:v>0.32600000000000001</c:v>
                </c:pt>
                <c:pt idx="6">
                  <c:v>0.34300000000000003</c:v>
                </c:pt>
                <c:pt idx="7">
                  <c:v>0.37</c:v>
                </c:pt>
                <c:pt idx="8">
                  <c:v>0.35599999999999998</c:v>
                </c:pt>
                <c:pt idx="9">
                  <c:v>0.34</c:v>
                </c:pt>
              </c:numCache>
            </c:numRef>
          </c:val>
          <c:smooth val="0"/>
        </c:ser>
        <c:ser>
          <c:idx val="9"/>
          <c:order val="9"/>
          <c:tx>
            <c:strRef>
              <c:f>'[Book1 (1).xlsx]orta'!$A$28</c:f>
              <c:strCache>
                <c:ptCount val="1"/>
                <c:pt idx="0">
                  <c:v>hungary</c:v>
                </c:pt>
              </c:strCache>
            </c:strRef>
          </c:tx>
          <c:marker>
            <c:symbol val="none"/>
          </c:marker>
          <c:cat>
            <c:numRef>
              <c:f>'[Book1 (1).xlsx]orta'!$B$18:$K$18</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(1).xlsx]orta'!$B$28:$K$28</c:f>
              <c:numCache>
                <c:formatCode>General</c:formatCode>
                <c:ptCount val="10"/>
                <c:pt idx="0">
                  <c:v>0.28299999999999997</c:v>
                </c:pt>
                <c:pt idx="1">
                  <c:v>0.27900000000000003</c:v>
                </c:pt>
                <c:pt idx="2">
                  <c:v>0.27500000000000002</c:v>
                </c:pt>
                <c:pt idx="3">
                  <c:v>0.27</c:v>
                </c:pt>
                <c:pt idx="4">
                  <c:v>0.29399999999999998</c:v>
                </c:pt>
                <c:pt idx="5">
                  <c:v>0.29199999999999998</c:v>
                </c:pt>
                <c:pt idx="6">
                  <c:v>0.308</c:v>
                </c:pt>
                <c:pt idx="7">
                  <c:v>0.315</c:v>
                </c:pt>
                <c:pt idx="8">
                  <c:v>0.309</c:v>
                </c:pt>
                <c:pt idx="9">
                  <c:v>0.30399999999999999</c:v>
                </c:pt>
              </c:numCache>
            </c:numRef>
          </c:val>
          <c:smooth val="0"/>
        </c:ser>
        <c:dLbls>
          <c:showLegendKey val="0"/>
          <c:showVal val="0"/>
          <c:showCatName val="0"/>
          <c:showSerName val="0"/>
          <c:showPercent val="0"/>
          <c:showBubbleSize val="0"/>
        </c:dLbls>
        <c:smooth val="0"/>
        <c:axId val="-1606143456"/>
        <c:axId val="-1606139104"/>
      </c:lineChart>
      <c:catAx>
        <c:axId val="-1606143456"/>
        <c:scaling>
          <c:orientation val="minMax"/>
        </c:scaling>
        <c:delete val="0"/>
        <c:axPos val="b"/>
        <c:numFmt formatCode="General" sourceLinked="1"/>
        <c:majorTickMark val="out"/>
        <c:minorTickMark val="none"/>
        <c:tickLblPos val="nextTo"/>
        <c:crossAx val="-1606139104"/>
        <c:crosses val="autoZero"/>
        <c:auto val="1"/>
        <c:lblAlgn val="ctr"/>
        <c:lblOffset val="100"/>
        <c:noMultiLvlLbl val="0"/>
      </c:catAx>
      <c:valAx>
        <c:axId val="-1606139104"/>
        <c:scaling>
          <c:orientation val="minMax"/>
        </c:scaling>
        <c:delete val="0"/>
        <c:axPos val="l"/>
        <c:majorGridlines/>
        <c:numFmt formatCode="General" sourceLinked="1"/>
        <c:majorTickMark val="out"/>
        <c:minorTickMark val="none"/>
        <c:tickLblPos val="nextTo"/>
        <c:crossAx val="-1606143456"/>
        <c:crosses val="autoZero"/>
        <c:crossBetween val="between"/>
      </c:valAx>
    </c:plotArea>
    <c:legend>
      <c:legendPos val="r"/>
      <c:layout>
        <c:manualLayout>
          <c:xMode val="edge"/>
          <c:yMode val="edge"/>
          <c:x val="0.79586045494313196"/>
          <c:y val="9.0673301254009922E-2"/>
          <c:w val="0.18747287839020121"/>
          <c:h val="0.83717191601049867"/>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'[Book1 (1).xlsx]zeif'!$A$17</c:f>
              <c:strCache>
                <c:ptCount val="1"/>
                <c:pt idx="0">
                  <c:v>Suriname</c:v>
                </c:pt>
              </c:strCache>
            </c:strRef>
          </c:tx>
          <c:marker>
            <c:symbol val="none"/>
          </c:marker>
          <c:cat>
            <c:numRef>
              <c:f>'[Book1 (1).xlsx]zeif'!$B$16:$K$16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(1).xlsx]zeif'!$B$17:$K$17</c:f>
              <c:numCache>
                <c:formatCode>General</c:formatCode>
                <c:ptCount val="10"/>
                <c:pt idx="0">
                  <c:v>0.57599999999999996</c:v>
                </c:pt>
                <c:pt idx="1">
                  <c:v>0.57399999999999995</c:v>
                </c:pt>
                <c:pt idx="2">
                  <c:v>0.56499999999999995</c:v>
                </c:pt>
                <c:pt idx="3">
                  <c:v>0.57399999999999995</c:v>
                </c:pt>
                <c:pt idx="4">
                  <c:v>0.57799999999999996</c:v>
                </c:pt>
                <c:pt idx="5">
                  <c:v>0.57999999999999996</c:v>
                </c:pt>
                <c:pt idx="6">
                  <c:v>0.56899999999999995</c:v>
                </c:pt>
                <c:pt idx="7">
                  <c:v>0.56000000000000005</c:v>
                </c:pt>
                <c:pt idx="8">
                  <c:v>0.57099999999999995</c:v>
                </c:pt>
                <c:pt idx="9">
                  <c:v>0.56999999999999995</c:v>
                </c:pt>
              </c:numCache>
            </c:numRef>
          </c:val>
          <c:smooth val="0"/>
        </c:ser>
        <c:ser>
          <c:idx val="1"/>
          <c:order val="1"/>
          <c:tx>
            <c:strRef>
              <c:f>'[Book1 (1).xlsx]zeif'!$A$18</c:f>
              <c:strCache>
                <c:ptCount val="1"/>
                <c:pt idx="0">
                  <c:v>Venezuela</c:v>
                </c:pt>
              </c:strCache>
            </c:strRef>
          </c:tx>
          <c:marker>
            <c:symbol val="none"/>
          </c:marker>
          <c:cat>
            <c:numRef>
              <c:f>'[Book1 (1).xlsx]zeif'!$B$16:$K$16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(1).xlsx]zeif'!$B$18:$K$18</c:f>
              <c:numCache>
                <c:formatCode>General</c:formatCode>
                <c:ptCount val="10"/>
                <c:pt idx="0">
                  <c:v>0.46899999999999997</c:v>
                </c:pt>
                <c:pt idx="1">
                  <c:v>0.47399999999999998</c:v>
                </c:pt>
                <c:pt idx="2">
                  <c:v>0.47599999999999998</c:v>
                </c:pt>
                <c:pt idx="3">
                  <c:v>0.48399999999999999</c:v>
                </c:pt>
                <c:pt idx="4">
                  <c:v>0.47299999999999998</c:v>
                </c:pt>
                <c:pt idx="5">
                  <c:v>0.48899999999999999</c:v>
                </c:pt>
                <c:pt idx="6">
                  <c:v>0.57199999999999995</c:v>
                </c:pt>
                <c:pt idx="7">
                  <c:v>0.61399999999999999</c:v>
                </c:pt>
                <c:pt idx="8">
                  <c:v>0.64200000000000002</c:v>
                </c:pt>
                <c:pt idx="9">
                  <c:v>0.65100000000000002</c:v>
                </c:pt>
              </c:numCache>
            </c:numRef>
          </c:val>
          <c:smooth val="0"/>
        </c:ser>
        <c:ser>
          <c:idx val="2"/>
          <c:order val="2"/>
          <c:tx>
            <c:strRef>
              <c:f>'[Book1 (1).xlsx]zeif'!$A$19</c:f>
              <c:strCache>
                <c:ptCount val="1"/>
                <c:pt idx="0">
                  <c:v>Sudan</c:v>
                </c:pt>
              </c:strCache>
            </c:strRef>
          </c:tx>
          <c:marker>
            <c:symbol val="none"/>
          </c:marker>
          <c:cat>
            <c:numRef>
              <c:f>'[Book1 (1).xlsx]zeif'!$B$16:$K$16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(1).xlsx]zeif'!$B$19:$K$19</c:f>
              <c:numCache>
                <c:formatCode>General</c:formatCode>
                <c:ptCount val="10"/>
                <c:pt idx="0">
                  <c:v>0.35399999999999998</c:v>
                </c:pt>
                <c:pt idx="1">
                  <c:v>0.35599999999999998</c:v>
                </c:pt>
                <c:pt idx="2">
                  <c:v>0.35</c:v>
                </c:pt>
                <c:pt idx="3">
                  <c:v>0.35899999999999999</c:v>
                </c:pt>
                <c:pt idx="4">
                  <c:v>0.35399999999999998</c:v>
                </c:pt>
                <c:pt idx="5">
                  <c:v>0.36099999999999999</c:v>
                </c:pt>
                <c:pt idx="6">
                  <c:v>0.36199999999999999</c:v>
                </c:pt>
                <c:pt idx="7">
                  <c:v>0.35399999999999998</c:v>
                </c:pt>
                <c:pt idx="8">
                  <c:v>0.35299999999999998</c:v>
                </c:pt>
                <c:pt idx="9">
                  <c:v>0.35499999999999998</c:v>
                </c:pt>
              </c:numCache>
            </c:numRef>
          </c:val>
          <c:smooth val="0"/>
        </c:ser>
        <c:ser>
          <c:idx val="3"/>
          <c:order val="3"/>
          <c:tx>
            <c:strRef>
              <c:f>'[Book1 (1).xlsx]zeif'!$A$20</c:f>
              <c:strCache>
                <c:ptCount val="1"/>
                <c:pt idx="0">
                  <c:v>Iraq</c:v>
                </c:pt>
              </c:strCache>
            </c:strRef>
          </c:tx>
          <c:marker>
            <c:symbol val="none"/>
          </c:marker>
          <c:cat>
            <c:numRef>
              <c:f>'[Book1 (1).xlsx]zeif'!$B$16:$K$16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(1).xlsx]zeif'!$B$20:$K$20</c:f>
              <c:numCache>
                <c:formatCode>General</c:formatCode>
                <c:ptCount val="10"/>
                <c:pt idx="0">
                  <c:v>0.28599999999999998</c:v>
                </c:pt>
                <c:pt idx="1">
                  <c:v>0.28699999999999998</c:v>
                </c:pt>
                <c:pt idx="2">
                  <c:v>0.28899999999999998</c:v>
                </c:pt>
                <c:pt idx="3">
                  <c:v>0.29099999999999998</c:v>
                </c:pt>
                <c:pt idx="4">
                  <c:v>0.29299999999999998</c:v>
                </c:pt>
                <c:pt idx="5">
                  <c:v>0.28999999999999998</c:v>
                </c:pt>
                <c:pt idx="6">
                  <c:v>0.29399999999999998</c:v>
                </c:pt>
                <c:pt idx="7">
                  <c:v>0.29199999999999998</c:v>
                </c:pt>
                <c:pt idx="8">
                  <c:v>0.29499999999999998</c:v>
                </c:pt>
                <c:pt idx="9">
                  <c:v>0.29699999999999999</c:v>
                </c:pt>
              </c:numCache>
            </c:numRef>
          </c:val>
          <c:smooth val="0"/>
        </c:ser>
        <c:ser>
          <c:idx val="4"/>
          <c:order val="4"/>
          <c:tx>
            <c:strRef>
              <c:f>'[Book1 (1).xlsx]zeif'!$A$21</c:f>
              <c:strCache>
                <c:ptCount val="1"/>
                <c:pt idx="0">
                  <c:v>Yemen</c:v>
                </c:pt>
              </c:strCache>
            </c:strRef>
          </c:tx>
          <c:marker>
            <c:symbol val="none"/>
          </c:marker>
          <c:cat>
            <c:numRef>
              <c:f>'[Book1 (1).xlsx]zeif'!$B$16:$K$16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(1).xlsx]zeif'!$B$21:$K$21</c:f>
              <c:numCache>
                <c:formatCode>General</c:formatCode>
                <c:ptCount val="10"/>
                <c:pt idx="0">
                  <c:v>0.34899999999999998</c:v>
                </c:pt>
                <c:pt idx="1">
                  <c:v>0.34599999999999997</c:v>
                </c:pt>
                <c:pt idx="2">
                  <c:v>0.35</c:v>
                </c:pt>
                <c:pt idx="3">
                  <c:v>0.34899999999999998</c:v>
                </c:pt>
                <c:pt idx="4">
                  <c:v>0.35099999999999998</c:v>
                </c:pt>
                <c:pt idx="5">
                  <c:v>0.35299999999999998</c:v>
                </c:pt>
                <c:pt idx="6">
                  <c:v>0.35899999999999999</c:v>
                </c:pt>
                <c:pt idx="7">
                  <c:v>0.36499999999999999</c:v>
                </c:pt>
                <c:pt idx="8">
                  <c:v>0.36699999999999999</c:v>
                </c:pt>
                <c:pt idx="9">
                  <c:v>0.36899999999999999</c:v>
                </c:pt>
              </c:numCache>
            </c:numRef>
          </c:val>
          <c:smooth val="0"/>
        </c:ser>
        <c:ser>
          <c:idx val="5"/>
          <c:order val="5"/>
          <c:tx>
            <c:strRef>
              <c:f>'[Book1 (1).xlsx]zeif'!$A$22</c:f>
              <c:strCache>
                <c:ptCount val="1"/>
                <c:pt idx="0">
                  <c:v>Libya</c:v>
                </c:pt>
              </c:strCache>
            </c:strRef>
          </c:tx>
          <c:marker>
            <c:symbol val="none"/>
          </c:marker>
          <c:cat>
            <c:numRef>
              <c:f>'[Book1 (1).xlsx]zeif'!$B$16:$K$16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(1).xlsx]zeif'!$B$22:$K$22</c:f>
              <c:numCache>
                <c:formatCode>General</c:formatCode>
                <c:ptCount val="10"/>
                <c:pt idx="0">
                  <c:v>0.42499999999999999</c:v>
                </c:pt>
                <c:pt idx="1">
                  <c:v>0.42699999999999999</c:v>
                </c:pt>
                <c:pt idx="2">
                  <c:v>0.43</c:v>
                </c:pt>
                <c:pt idx="3">
                  <c:v>0.43099999999999999</c:v>
                </c:pt>
                <c:pt idx="4">
                  <c:v>0.435</c:v>
                </c:pt>
                <c:pt idx="5">
                  <c:v>0.43099999999999999</c:v>
                </c:pt>
                <c:pt idx="6">
                  <c:v>0.45800000000000002</c:v>
                </c:pt>
                <c:pt idx="7">
                  <c:v>0.443</c:v>
                </c:pt>
                <c:pt idx="8">
                  <c:v>0.44700000000000001</c:v>
                </c:pt>
                <c:pt idx="9">
                  <c:v>0.44500000000000001</c:v>
                </c:pt>
              </c:numCache>
            </c:numRef>
          </c:val>
          <c:smooth val="0"/>
        </c:ser>
        <c:ser>
          <c:idx val="6"/>
          <c:order val="6"/>
          <c:tx>
            <c:strRef>
              <c:f>'[Book1 (1).xlsx]zeif'!$A$23</c:f>
              <c:strCache>
                <c:ptCount val="1"/>
                <c:pt idx="0">
                  <c:v>Bostwana</c:v>
                </c:pt>
              </c:strCache>
            </c:strRef>
          </c:tx>
          <c:marker>
            <c:symbol val="none"/>
          </c:marker>
          <c:cat>
            <c:numRef>
              <c:f>'[Book1 (1).xlsx]zeif'!$B$16:$K$16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(1).xlsx]zeif'!$B$23:$K$23</c:f>
              <c:numCache>
                <c:formatCode>General</c:formatCode>
                <c:ptCount val="10"/>
                <c:pt idx="0">
                  <c:v>0.627</c:v>
                </c:pt>
                <c:pt idx="1">
                  <c:v>0.629</c:v>
                </c:pt>
                <c:pt idx="2">
                  <c:v>0.60899999999999999</c:v>
                </c:pt>
                <c:pt idx="3">
                  <c:v>0.60499999999999998</c:v>
                </c:pt>
                <c:pt idx="4">
                  <c:v>0.58499999999999996</c:v>
                </c:pt>
                <c:pt idx="5">
                  <c:v>0.57999999999999996</c:v>
                </c:pt>
                <c:pt idx="6">
                  <c:v>0.57199999999999995</c:v>
                </c:pt>
                <c:pt idx="7">
                  <c:v>0.56899999999999995</c:v>
                </c:pt>
                <c:pt idx="8">
                  <c:v>0.54</c:v>
                </c:pt>
                <c:pt idx="9">
                  <c:v>0.53300000000000003</c:v>
                </c:pt>
              </c:numCache>
            </c:numRef>
          </c:val>
          <c:smooth val="0"/>
        </c:ser>
        <c:ser>
          <c:idx val="7"/>
          <c:order val="7"/>
          <c:tx>
            <c:strRef>
              <c:f>'[Book1 (1).xlsx]zeif'!$A$24</c:f>
              <c:strCache>
                <c:ptCount val="1"/>
                <c:pt idx="0">
                  <c:v>Nigeria</c:v>
                </c:pt>
              </c:strCache>
            </c:strRef>
          </c:tx>
          <c:marker>
            <c:symbol val="none"/>
          </c:marker>
          <c:cat>
            <c:numRef>
              <c:f>'[Book1 (1).xlsx]zeif'!$B$16:$K$16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(1).xlsx]zeif'!$B$24:$K$24</c:f>
              <c:numCache>
                <c:formatCode>General</c:formatCode>
                <c:ptCount val="10"/>
                <c:pt idx="0">
                  <c:v>0.41499999999999998</c:v>
                </c:pt>
                <c:pt idx="1">
                  <c:v>0.42</c:v>
                </c:pt>
                <c:pt idx="2">
                  <c:v>0.42199999999999999</c:v>
                </c:pt>
                <c:pt idx="3">
                  <c:v>0.43</c:v>
                </c:pt>
                <c:pt idx="4">
                  <c:v>0.42099999999999999</c:v>
                </c:pt>
                <c:pt idx="5">
                  <c:v>0.42699999999999999</c:v>
                </c:pt>
                <c:pt idx="6">
                  <c:v>0.43099999999999999</c:v>
                </c:pt>
                <c:pt idx="7">
                  <c:v>0.435</c:v>
                </c:pt>
                <c:pt idx="8">
                  <c:v>0.439</c:v>
                </c:pt>
                <c:pt idx="9">
                  <c:v>0.437</c:v>
                </c:pt>
              </c:numCache>
            </c:numRef>
          </c:val>
          <c:smooth val="0"/>
        </c:ser>
        <c:ser>
          <c:idx val="8"/>
          <c:order val="8"/>
          <c:tx>
            <c:strRef>
              <c:f>'[Book1 (1).xlsx]zeif'!$A$25</c:f>
              <c:strCache>
                <c:ptCount val="1"/>
                <c:pt idx="0">
                  <c:v>Zimbabwe</c:v>
                </c:pt>
              </c:strCache>
            </c:strRef>
          </c:tx>
          <c:marker>
            <c:symbol val="none"/>
          </c:marker>
          <c:cat>
            <c:numRef>
              <c:f>'[Book1 (1).xlsx]zeif'!$B$16:$K$16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(1).xlsx]zeif'!$B$25:$K$25</c:f>
              <c:numCache>
                <c:formatCode>General</c:formatCode>
                <c:ptCount val="10"/>
                <c:pt idx="0">
                  <c:v>0.42299999999999999</c:v>
                </c:pt>
                <c:pt idx="1">
                  <c:v>0.42499999999999999</c:v>
                </c:pt>
                <c:pt idx="2">
                  <c:v>0.42699999999999999</c:v>
                </c:pt>
                <c:pt idx="3">
                  <c:v>0.43</c:v>
                </c:pt>
                <c:pt idx="4">
                  <c:v>0.432</c:v>
                </c:pt>
                <c:pt idx="5">
                  <c:v>0.432</c:v>
                </c:pt>
                <c:pt idx="6">
                  <c:v>0.435</c:v>
                </c:pt>
                <c:pt idx="7">
                  <c:v>0.433</c:v>
                </c:pt>
                <c:pt idx="8">
                  <c:v>0.439</c:v>
                </c:pt>
                <c:pt idx="9">
                  <c:v>0.437</c:v>
                </c:pt>
              </c:numCache>
            </c:numRef>
          </c:val>
          <c:smooth val="0"/>
        </c:ser>
        <c:ser>
          <c:idx val="9"/>
          <c:order val="9"/>
          <c:tx>
            <c:strRef>
              <c:f>'[Book1 (1).xlsx]zeif'!$A$26</c:f>
              <c:strCache>
                <c:ptCount val="1"/>
                <c:pt idx="0">
                  <c:v>Dominica</c:v>
                </c:pt>
              </c:strCache>
            </c:strRef>
          </c:tx>
          <c:marker>
            <c:symbol val="none"/>
          </c:marker>
          <c:cat>
            <c:numRef>
              <c:f>'[Book1 (1).xlsx]zeif'!$B$16:$K$16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'[Book1 (1).xlsx]zeif'!$B$26:$K$26</c:f>
              <c:numCache>
                <c:formatCode>General</c:formatCode>
                <c:ptCount val="10"/>
                <c:pt idx="0">
                  <c:v>0.52</c:v>
                </c:pt>
                <c:pt idx="1">
                  <c:v>0.48899999999999999</c:v>
                </c:pt>
                <c:pt idx="2">
                  <c:v>0.48099999999999998</c:v>
                </c:pt>
                <c:pt idx="3">
                  <c:v>0.48899999999999999</c:v>
                </c:pt>
                <c:pt idx="4">
                  <c:v>0.47299999999999998</c:v>
                </c:pt>
                <c:pt idx="5">
                  <c:v>0.46100000000000002</c:v>
                </c:pt>
                <c:pt idx="6">
                  <c:v>0.47699999999999998</c:v>
                </c:pt>
                <c:pt idx="7">
                  <c:v>0.443</c:v>
                </c:pt>
                <c:pt idx="8">
                  <c:v>0.45200000000000001</c:v>
                </c:pt>
                <c:pt idx="9">
                  <c:v>0.45700000000000002</c:v>
                </c:pt>
              </c:numCache>
            </c:numRef>
          </c:val>
          <c:smooth val="0"/>
        </c:ser>
        <c:dLbls>
          <c:showLegendKey val="0"/>
          <c:showVal val="0"/>
          <c:showCatName val="0"/>
          <c:showSerName val="0"/>
          <c:showPercent val="0"/>
          <c:showBubbleSize val="0"/>
        </c:dLbls>
        <c:smooth val="0"/>
        <c:axId val="-1606144000"/>
        <c:axId val="-1606150528"/>
      </c:lineChart>
      <c:catAx>
        <c:axId val="-1606144000"/>
        <c:scaling>
          <c:orientation val="minMax"/>
        </c:scaling>
        <c:delete val="0"/>
        <c:axPos val="b"/>
        <c:numFmt formatCode="General" sourceLinked="1"/>
        <c:majorTickMark val="out"/>
        <c:minorTickMark val="none"/>
        <c:tickLblPos val="nextTo"/>
        <c:crossAx val="-1606150528"/>
        <c:crosses val="autoZero"/>
        <c:auto val="1"/>
        <c:lblAlgn val="ctr"/>
        <c:lblOffset val="100"/>
        <c:noMultiLvlLbl val="0"/>
      </c:catAx>
      <c:valAx>
        <c:axId val="-1606150528"/>
        <c:scaling>
          <c:orientation val="minMax"/>
        </c:scaling>
        <c:delete val="0"/>
        <c:axPos val="l"/>
        <c:majorGridlines/>
        <c:numFmt formatCode="General" sourceLinked="1"/>
        <c:majorTickMark val="out"/>
        <c:minorTickMark val="none"/>
        <c:tickLblPos val="nextTo"/>
        <c:crossAx val="-16061440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8B72EE602A694BBD3CC24298F70AF6" ma:contentTypeVersion="0" ma:contentTypeDescription="Create a new document." ma:contentTypeScope="" ma:versionID="8c893cd10d9060bdd79e8481c2dad1c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4BA7D-A4DD-4CBC-B31B-9EF3AF42867F}">
  <ds:schemaRefs>
    <ds:schemaRef ds:uri="http://schemas.microsoft.com/sharepoint/v3/contenttype/forms"/>
  </ds:schemaRefs>
</ds:datastoreItem>
</file>

<file path=customXml/itemProps2.xml><?xml version="1.0" encoding="utf-8"?>
<ds:datastoreItem xmlns:ds="http://schemas.openxmlformats.org/officeDocument/2006/customXml" ds:itemID="{5EEFF3A8-3CAB-4FC4-9FFD-3DEBB27AE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0D70D4-B7BD-43ED-A5C2-60794AE855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E4D15D-9458-4C23-8630-99E8B83A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10940</Words>
  <Characters>62363</Characters>
  <Application>Microsoft Office Word</Application>
  <DocSecurity>0</DocSecurity>
  <Lines>519</Lines>
  <Paragraphs>146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73157</CharactersWithSpaces>
  <SharedDoc>false</SharedDoc>
  <HLinks>
    <vt:vector size="108" baseType="variant">
      <vt:variant>
        <vt:i4>2359408</vt:i4>
      </vt:variant>
      <vt:variant>
        <vt:i4>129</vt:i4>
      </vt:variant>
      <vt:variant>
        <vt:i4>0</vt:i4>
      </vt:variant>
      <vt:variant>
        <vt:i4>5</vt:i4>
      </vt:variant>
      <vt:variant>
        <vt:lpwstr>http://www.scholar.google.com/</vt:lpwstr>
      </vt:variant>
      <vt:variant>
        <vt:lpwstr/>
      </vt:variant>
      <vt:variant>
        <vt:i4>3145779</vt:i4>
      </vt:variant>
      <vt:variant>
        <vt:i4>126</vt:i4>
      </vt:variant>
      <vt:variant>
        <vt:i4>0</vt:i4>
      </vt:variant>
      <vt:variant>
        <vt:i4>5</vt:i4>
      </vt:variant>
      <vt:variant>
        <vt:lpwstr>http://www.qub.ac.uk/directorates/InformationServices/TheLibrary/OnlineResources/Refworks/</vt:lpwstr>
      </vt:variant>
      <vt:variant>
        <vt:lpwstr/>
      </vt:variant>
      <vt:variant>
        <vt:i4>1835057</vt:i4>
      </vt:variant>
      <vt:variant>
        <vt:i4>97</vt:i4>
      </vt:variant>
      <vt:variant>
        <vt:i4>0</vt:i4>
      </vt:variant>
      <vt:variant>
        <vt:i4>5</vt:i4>
      </vt:variant>
      <vt:variant>
        <vt:lpwstr/>
      </vt:variant>
      <vt:variant>
        <vt:lpwstr>_Toc241077580</vt:lpwstr>
      </vt:variant>
      <vt:variant>
        <vt:i4>1245233</vt:i4>
      </vt:variant>
      <vt:variant>
        <vt:i4>91</vt:i4>
      </vt:variant>
      <vt:variant>
        <vt:i4>0</vt:i4>
      </vt:variant>
      <vt:variant>
        <vt:i4>5</vt:i4>
      </vt:variant>
      <vt:variant>
        <vt:lpwstr/>
      </vt:variant>
      <vt:variant>
        <vt:lpwstr>_Toc241077579</vt:lpwstr>
      </vt:variant>
      <vt:variant>
        <vt:i4>1507376</vt:i4>
      </vt:variant>
      <vt:variant>
        <vt:i4>83</vt:i4>
      </vt:variant>
      <vt:variant>
        <vt:i4>0</vt:i4>
      </vt:variant>
      <vt:variant>
        <vt:i4>5</vt:i4>
      </vt:variant>
      <vt:variant>
        <vt:lpwstr/>
      </vt:variant>
      <vt:variant>
        <vt:lpwstr>_Toc241077438</vt:lpwstr>
      </vt:variant>
      <vt:variant>
        <vt:i4>1179702</vt:i4>
      </vt:variant>
      <vt:variant>
        <vt:i4>74</vt:i4>
      </vt:variant>
      <vt:variant>
        <vt:i4>0</vt:i4>
      </vt:variant>
      <vt:variant>
        <vt:i4>5</vt:i4>
      </vt:variant>
      <vt:variant>
        <vt:lpwstr/>
      </vt:variant>
      <vt:variant>
        <vt:lpwstr>_Toc241077263</vt:lpwstr>
      </vt:variant>
      <vt:variant>
        <vt:i4>1179702</vt:i4>
      </vt:variant>
      <vt:variant>
        <vt:i4>68</vt:i4>
      </vt:variant>
      <vt:variant>
        <vt:i4>0</vt:i4>
      </vt:variant>
      <vt:variant>
        <vt:i4>5</vt:i4>
      </vt:variant>
      <vt:variant>
        <vt:lpwstr/>
      </vt:variant>
      <vt:variant>
        <vt:lpwstr>_Toc241077262</vt:lpwstr>
      </vt:variant>
      <vt:variant>
        <vt:i4>1179702</vt:i4>
      </vt:variant>
      <vt:variant>
        <vt:i4>62</vt:i4>
      </vt:variant>
      <vt:variant>
        <vt:i4>0</vt:i4>
      </vt:variant>
      <vt:variant>
        <vt:i4>5</vt:i4>
      </vt:variant>
      <vt:variant>
        <vt:lpwstr/>
      </vt:variant>
      <vt:variant>
        <vt:lpwstr>_Toc241077261</vt:lpwstr>
      </vt:variant>
      <vt:variant>
        <vt:i4>1179702</vt:i4>
      </vt:variant>
      <vt:variant>
        <vt:i4>56</vt:i4>
      </vt:variant>
      <vt:variant>
        <vt:i4>0</vt:i4>
      </vt:variant>
      <vt:variant>
        <vt:i4>5</vt:i4>
      </vt:variant>
      <vt:variant>
        <vt:lpwstr/>
      </vt:variant>
      <vt:variant>
        <vt:lpwstr>_Toc241077260</vt:lpwstr>
      </vt:variant>
      <vt:variant>
        <vt:i4>1114166</vt:i4>
      </vt:variant>
      <vt:variant>
        <vt:i4>50</vt:i4>
      </vt:variant>
      <vt:variant>
        <vt:i4>0</vt:i4>
      </vt:variant>
      <vt:variant>
        <vt:i4>5</vt:i4>
      </vt:variant>
      <vt:variant>
        <vt:lpwstr/>
      </vt:variant>
      <vt:variant>
        <vt:lpwstr>_Toc241077259</vt:lpwstr>
      </vt:variant>
      <vt:variant>
        <vt:i4>1114166</vt:i4>
      </vt:variant>
      <vt:variant>
        <vt:i4>44</vt:i4>
      </vt:variant>
      <vt:variant>
        <vt:i4>0</vt:i4>
      </vt:variant>
      <vt:variant>
        <vt:i4>5</vt:i4>
      </vt:variant>
      <vt:variant>
        <vt:lpwstr/>
      </vt:variant>
      <vt:variant>
        <vt:lpwstr>_Toc241077258</vt:lpwstr>
      </vt:variant>
      <vt:variant>
        <vt:i4>1114166</vt:i4>
      </vt:variant>
      <vt:variant>
        <vt:i4>38</vt:i4>
      </vt:variant>
      <vt:variant>
        <vt:i4>0</vt:i4>
      </vt:variant>
      <vt:variant>
        <vt:i4>5</vt:i4>
      </vt:variant>
      <vt:variant>
        <vt:lpwstr/>
      </vt:variant>
      <vt:variant>
        <vt:lpwstr>_Toc241077257</vt:lpwstr>
      </vt:variant>
      <vt:variant>
        <vt:i4>1114166</vt:i4>
      </vt:variant>
      <vt:variant>
        <vt:i4>32</vt:i4>
      </vt:variant>
      <vt:variant>
        <vt:i4>0</vt:i4>
      </vt:variant>
      <vt:variant>
        <vt:i4>5</vt:i4>
      </vt:variant>
      <vt:variant>
        <vt:lpwstr/>
      </vt:variant>
      <vt:variant>
        <vt:lpwstr>_Toc241077256</vt:lpwstr>
      </vt:variant>
      <vt:variant>
        <vt:i4>1114166</vt:i4>
      </vt:variant>
      <vt:variant>
        <vt:i4>26</vt:i4>
      </vt:variant>
      <vt:variant>
        <vt:i4>0</vt:i4>
      </vt:variant>
      <vt:variant>
        <vt:i4>5</vt:i4>
      </vt:variant>
      <vt:variant>
        <vt:lpwstr/>
      </vt:variant>
      <vt:variant>
        <vt:lpwstr>_Toc241077255</vt:lpwstr>
      </vt:variant>
      <vt:variant>
        <vt:i4>1114166</vt:i4>
      </vt:variant>
      <vt:variant>
        <vt:i4>20</vt:i4>
      </vt:variant>
      <vt:variant>
        <vt:i4>0</vt:i4>
      </vt:variant>
      <vt:variant>
        <vt:i4>5</vt:i4>
      </vt:variant>
      <vt:variant>
        <vt:lpwstr/>
      </vt:variant>
      <vt:variant>
        <vt:lpwstr>_Toc241077254</vt:lpwstr>
      </vt:variant>
      <vt:variant>
        <vt:i4>1114166</vt:i4>
      </vt:variant>
      <vt:variant>
        <vt:i4>14</vt:i4>
      </vt:variant>
      <vt:variant>
        <vt:i4>0</vt:i4>
      </vt:variant>
      <vt:variant>
        <vt:i4>5</vt:i4>
      </vt:variant>
      <vt:variant>
        <vt:lpwstr/>
      </vt:variant>
      <vt:variant>
        <vt:lpwstr>_Toc241077253</vt:lpwstr>
      </vt:variant>
      <vt:variant>
        <vt:i4>1114166</vt:i4>
      </vt:variant>
      <vt:variant>
        <vt:i4>8</vt:i4>
      </vt:variant>
      <vt:variant>
        <vt:i4>0</vt:i4>
      </vt:variant>
      <vt:variant>
        <vt:i4>5</vt:i4>
      </vt:variant>
      <vt:variant>
        <vt:lpwstr/>
      </vt:variant>
      <vt:variant>
        <vt:lpwstr>_Toc241077252</vt:lpwstr>
      </vt:variant>
      <vt:variant>
        <vt:i4>1114166</vt:i4>
      </vt:variant>
      <vt:variant>
        <vt:i4>2</vt:i4>
      </vt:variant>
      <vt:variant>
        <vt:i4>0</vt:i4>
      </vt:variant>
      <vt:variant>
        <vt:i4>5</vt:i4>
      </vt:variant>
      <vt:variant>
        <vt:lpwstr/>
      </vt:variant>
      <vt:variant>
        <vt:lpwstr>_Toc241077251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Campbell</dc:creator>
  <cp:lastModifiedBy>Garanfil.Sadigova</cp:lastModifiedBy>
  <cp:revision>2</cp:revision>
  <cp:lastPrinted>2018-04-05T15:48:00Z</cp:lastPrinted>
  <dcterms:created xsi:type="dcterms:W3CDTF">2019-05-10T07:24:00Z</dcterms:created>
  <dcterms:modified xsi:type="dcterms:W3CDTF">2019-05-10T07:24:00Z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0x010100868B72EE602A694BBD3CC24298F70AF6</vt:lpwstr>
  </property>
</Properties>
</file>