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3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254" w:right="465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-52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3"/>
          <w:sz w:val="22"/>
        </w:rPr>
        <w:t> </w:t>
      </w:r>
      <w:r>
        <w:rPr>
          <w:b/>
          <w:color w:val="FF0000"/>
          <w:sz w:val="22"/>
        </w:rPr>
        <w:t>(Süni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intellekt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9303" w:right="186" w:hanging="6441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9"/>
          <w:sz w:val="22"/>
        </w:rPr>
        <w:t> </w:t>
      </w:r>
      <w:r>
        <w:rPr>
          <w:b/>
          <w:color w:val="FF0000"/>
          <w:spacing w:val="-4"/>
          <w:sz w:val="22"/>
        </w:rPr>
        <w:t>(Artificial</w:t>
      </w:r>
      <w:r>
        <w:rPr>
          <w:b/>
          <w:color w:val="FF0000"/>
          <w:spacing w:val="-9"/>
          <w:sz w:val="22"/>
        </w:rPr>
        <w:t> </w:t>
      </w:r>
      <w:r>
        <w:rPr>
          <w:b/>
          <w:color w:val="FF0000"/>
          <w:spacing w:val="-4"/>
          <w:sz w:val="22"/>
        </w:rPr>
        <w:t>Intelligence)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72448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71936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71424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133"/>
        <w:gridCol w:w="6096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20" w:right="111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609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551" w:right="2538" w:firstLine="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5"/>
              <w:ind w:left="99" w:right="21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615" w:right="9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5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4"/>
              <w:ind w:left="355" w:right="12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ind w:left="610" w:right="38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5"/>
              <w:ind w:left="565" w:right="276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3" w:right="193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0" w:after="0"/>
              <w:ind w:left="572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3" w:lineRule="exact" w:before="1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line="183" w:lineRule="exact"/>
              <w:ind w:left="24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line="183" w:lineRule="exact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line="183" w:lineRule="exact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AIF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515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Süni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intellektin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əsasları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Artificial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Intelligence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Fundamentals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9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AIIT 526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66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Əşyaların interneti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Internet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Things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DL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937"/>
              <w:rPr>
                <w:b/>
                <w:sz w:val="16"/>
              </w:rPr>
            </w:pPr>
            <w:r>
              <w:rPr>
                <w:b/>
                <w:color w:val="6F2F9F"/>
                <w:spacing w:val="-1"/>
                <w:sz w:val="16"/>
              </w:rPr>
              <w:t>Dərin </w:t>
            </w:r>
            <w:r>
              <w:rPr>
                <w:b/>
                <w:color w:val="6F2F9F"/>
                <w:sz w:val="16"/>
              </w:rPr>
              <w:t>öyrənmə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Deep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Learning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ML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538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69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Maşın öyrənmə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Machine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Learning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DIP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541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27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 şəkil emalı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Image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Processing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HCI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545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11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İnsanla kompüter arasında qarşılıqlı təsir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Human-Computer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Interaction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NLP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549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163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Kompüter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alqoritm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vasitəsilə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təbii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dilin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emal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Natural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Language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Processing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2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AIA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552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Süni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intellekt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tətbiqləri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Artificial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Intelligence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Applications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94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47"/>
              <w:ind w:left="3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before="47"/>
              <w:ind w:left="173" w:right="16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47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before="47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before="47"/>
              <w:ind w:left="173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spacing w:before="47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spacing w:before="47"/>
              <w:ind w:left="338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ANN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560</w:t>
            </w:r>
          </w:p>
        </w:tc>
        <w:tc>
          <w:tcPr>
            <w:tcW w:w="6096" w:type="dxa"/>
          </w:tcPr>
          <w:p>
            <w:pPr>
              <w:pStyle w:val="TableParagraph"/>
              <w:spacing w:line="183" w:lineRule="exact"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Süni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neyron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şəbəkələri</w:t>
            </w:r>
            <w:r>
              <w:rPr>
                <w:b/>
                <w:color w:val="6F2F9F"/>
                <w:spacing w:val="3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(məcburi)</w:t>
            </w:r>
          </w:p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Artificial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Neural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Networks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(ANN)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(required)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55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AOS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563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Əşyaların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interneti,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sensorlar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elektron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cihazlar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üçün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tətbiqlərin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hazırlanması</w:t>
            </w:r>
          </w:p>
          <w:p>
            <w:pPr>
              <w:pStyle w:val="TableParagraph"/>
              <w:spacing w:line="183" w:lineRule="exact" w:before="1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color w:val="FF0000"/>
                <w:sz w:val="16"/>
              </w:rPr>
              <w:t>məcburi)</w:t>
            </w:r>
          </w:p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Applications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Optoelectronics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Sensors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(required)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GDM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568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237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Multiplatformada oyunların hazırlanması </w:t>
            </w:r>
            <w:r>
              <w:rPr>
                <w:color w:val="FF0000"/>
                <w:sz w:val="16"/>
              </w:rPr>
              <w:t>(</w:t>
            </w:r>
            <w:r>
              <w:rPr>
                <w:b/>
                <w:color w:val="FF0000"/>
                <w:sz w:val="16"/>
              </w:rPr>
              <w:t>məcburi)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Game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Development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Multiplatform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required)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2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ICV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575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296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Kompüter vizionuna giriş </w:t>
            </w:r>
            <w:r>
              <w:rPr>
                <w:sz w:val="16"/>
              </w:rPr>
              <w:t>(</w:t>
            </w:r>
            <w:r>
              <w:rPr>
                <w:b/>
                <w:color w:val="FF0000"/>
                <w:sz w:val="16"/>
              </w:rPr>
              <w:t>məcburi)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Introduction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Computer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Vision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(required)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0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ADS</w:t>
            </w:r>
            <w:r>
              <w:rPr>
                <w:rFonts w:ascii="Cambria"/>
                <w:b/>
                <w:color w:val="6F2F9F"/>
                <w:spacing w:val="-1"/>
                <w:sz w:val="16"/>
              </w:rPr>
              <w:t> </w:t>
            </w:r>
            <w:r>
              <w:rPr>
                <w:rFonts w:ascii="Cambria"/>
                <w:b/>
                <w:color w:val="6F2F9F"/>
                <w:sz w:val="16"/>
              </w:rPr>
              <w:t>582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59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Müasir verilənlər bazası sistemləri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Advanced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Database 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ARS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586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55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Mürəkkəb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robototexnika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sistemləri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Advanced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Robotics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DSPA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592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30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Siqnalın rəqəmsal emalı üçün tətbiqlər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Signal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Processing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Applications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WNP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596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06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Simsiz şəbəkə protokolları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Wireless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Network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Protocols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DCV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598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55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3D kompüter vizion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Computer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Vision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ESRTA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218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Real vaxt rejimi tətbiqləri üçün quraşdırılmış sistemlər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Embedded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 Real-Time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Applications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CGP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605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39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Kompüter qrafikası və tətbiqləri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Computer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Graphics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Applications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BCI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04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 kompüter interfeysləri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Brain-Computer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Interfaces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GA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615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289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Qraflar nəzəriyyəsinə əsaslanan alqorurmlər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Graph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Algorithms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OM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618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22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Optimallaşdırma üsulları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Optimization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620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34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 tədqiqat metodları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Desicion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0" w:after="59"/>
        <w:ind w:left="3125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3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1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3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spacing w:before="64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2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təlim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3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3" w:hanging="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</w:t>
      </w:r>
      <w:r>
        <w:rPr>
          <w:color w:val="6F2F9F"/>
          <w:spacing w:val="1"/>
        </w:rPr>
        <w:t> </w:t>
      </w:r>
      <w:r>
        <w:rPr>
          <w:color w:val="6F2F9F"/>
        </w:rPr>
        <w:t>Məktəbinin direktoru  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UNEC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</w:t>
      </w:r>
      <w:r>
        <w:rPr>
          <w:color w:val="6F2F9F"/>
          <w:spacing w:val="-1"/>
        </w:rPr>
        <w:t> </w:t>
      </w:r>
      <w:r>
        <w:rPr>
          <w:color w:val="6F2F9F"/>
        </w:rPr>
        <w:t>Hacıyev 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2023-04-19T15:08:13Z</dcterms:created>
  <dcterms:modified xsi:type="dcterms:W3CDTF">2023-04-19T15:08:13Z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